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11</w:t>
      </w:r>
    </w:p>
    <w:p>
      <w:pPr>
        <w:spacing w:after="300"/>
      </w:pPr>
      <w:r>
        <w:rPr>
          <w:rFonts w:ascii="Calibri" w:cs="Calibri" w:eastAsia="Calibri" w:hAnsi="Calibri"/>
          <w:b/>
          <w:bCs/>
          <w:color w:val="14213D"/>
          <w:sz w:val="34"/>
          <w:szCs w:val="34"/>
        </w:rPr>
        <w:t xml:space="preserve">Werkboek — De ADM in de praktijk: iteraties, requirements management, architectuurcontract</w:t>
      </w:r>
    </w:p>
    <w:p>
      <w:pPr>
        <w:spacing w:after="160" w:line="300"/>
        <w:jc w:val="left"/>
      </w:pPr>
      <w:r>
        <w:rPr>
          <w:rFonts w:ascii="Calibri" w:cs="Calibri" w:eastAsia="Calibri" w:hAnsi="Calibri"/>
          <w:b w:val="false"/>
          <w:bCs w:val="false"/>
          <w:i w:val="false"/>
          <w:iCs w:val="false"/>
          <w:color w:val="1A1A1A"/>
          <w:sz w:val="21"/>
          <w:szCs w:val="21"/>
        </w:rPr>
        <w:t xml:space="preserve">Welkom in niveau 2. De opzet blijft: elke opdracht sluit af met een verantwoordingsvraag, huiswerk wordt met peer feedback geopend in het volgende deel. Nieuw vanaf dit deel: de casus is het Programma Mutatieplatform, en uw werk bouwt toe naar een doelarchitectuur- en roadmapverdediging in deel 22.</w:t>
      </w:r>
    </w:p>
    <w:p>
      <w:pPr>
        <w:spacing w:after="160" w:line="300"/>
        <w:jc w:val="left"/>
      </w:pPr>
      <w:r>
        <w:rPr>
          <w:rFonts w:ascii="Calibri" w:cs="Calibri" w:eastAsia="Calibri" w:hAnsi="Calibri"/>
          <w:b w:val="false"/>
          <w:bCs w:val="false"/>
          <w:i w:val="false"/>
          <w:iCs w:val="false"/>
          <w:color w:val="1A1A1A"/>
          <w:sz w:val="21"/>
          <w:szCs w:val="21"/>
        </w:rPr>
        <w:t xml:space="preserve">Benodigd: reader deel 11. Kennis van niveau 1 (met name deel 2, 3, 5 en 9) wordt verondersteld.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Het gedeelde patroon vinden (30 min, drietallen)</w:t>
      </w:r>
    </w:p>
    <w:p>
      <w:pPr>
        <w:spacing w:after="160" w:line="300"/>
        <w:jc w:val="left"/>
      </w:pPr>
      <w:r>
        <w:rPr>
          <w:rFonts w:ascii="Calibri" w:cs="Calibri" w:eastAsia="Calibri" w:hAnsi="Calibri"/>
          <w:b w:val="false"/>
          <w:bCs w:val="false"/>
          <w:i w:val="false"/>
          <w:iCs w:val="false"/>
          <w:color w:val="1A1A1A"/>
          <w:sz w:val="21"/>
          <w:szCs w:val="21"/>
        </w:rPr>
        <w:t xml:space="preserve">Bijlage A geeft vijf korte pijnpuntbeschrijvingen, één per mutatie-afdeling.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Zoek het gedeelde patroon: welke stappen komen in alle vijf terug, ook al heten ze overal anders?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Formuleer de generieke mutatieverwerkingscapability in één zin (vermogens-taal — u kent de tekenregel uit niveau 1, deel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Benoem voor elke afdeling wat wél specifiek blijft — het deel dat niet in de generieke capability past.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collega stelt voor gewoon het proces van de best presterende afdeling (Betalingsmutaties) als sjabloon voor alle vijf te nemen. Weerleg met het begrippenkader-argument uit niveau 1, deel 4.</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Volgordeadvies voor het programma (20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Beoordeel de vijf afdelingen op risico, afhankelijkheid en waarde (gebruik bijlage A) en stel een volgorde voor.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Verdedig waarom de meest complexe afdeling als pilot beter is dan de eenvoudigste "om snel een succes te boeken".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is het risico van uw gekozen volgorde, en welke mitigatie hoort daarbij?</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De botsing oplossen (30 min, drietallen, incl. kort rollenspel)</w:t>
      </w:r>
    </w:p>
    <w:p>
      <w:pPr>
        <w:spacing w:after="160" w:line="300"/>
        <w:jc w:val="left"/>
      </w:pPr>
      <w:r>
        <w:rPr>
          <w:rFonts w:ascii="Calibri" w:cs="Calibri" w:eastAsia="Calibri" w:hAnsi="Calibri"/>
          <w:b w:val="false"/>
          <w:bCs w:val="false"/>
          <w:i w:val="false"/>
          <w:iCs w:val="false"/>
          <w:color w:val="1A1A1A"/>
          <w:sz w:val="21"/>
          <w:szCs w:val="21"/>
        </w:rPr>
        <w:t xml:space="preserve">Begunstigden wil verplichte dubbele autorisatie op elke mutatie; Adreswijzigingen wil minimale frictie. Beide zijn ingebracht als requirement op dezelfde generieke stap.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Beschrijf de parametrisering die beide recht doet: welke instelling, wie is eigenaar, hoe wordt zij vastgelegd.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Rollenspel (8 min): een architect legt de parametriseringsoplossing uit aan het hoofd Begunstigden, dat bang is dat "flexibiliteit" een eufemisme is voor "verwaterde controle". Doel: het onderliggende concern erkennen vóór de oplossing wordt gepresenteerd (niveau 1, deel 3-stijl).</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"middelen" (één autorisatieniveau voor iedereen, ergens tussenin) hier net zo'n fout als het was bij "werkgever" in niveau 1?</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Het contractnetwerk (25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Schets het generieke contract (kern: wie bouwt, welke principes/standaarden, wie is eigenaar van de kernparameters) en één specialisatiecontract (voor Dienstverbandmutaties als pilot).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Ontwerp de samenhangtoets: wie zit erbij, welke frequentie, wat staat er wél en beslist níet op de agenda (vergelijk met het onderscheid stuurgroep/gremium uit niveau 1, deel 9).</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gaat er mis als de samenhangtoets wordt samengevoegd met de reguliere voortgangsstuurgroep van elk team?</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iteratiestrategie op één A4 (schriftelijk, inleveren vóór deel 12)</w:t>
      </w:r>
    </w:p>
    <w:p>
      <w:pPr>
        <w:spacing w:after="160" w:line="300"/>
        <w:jc w:val="left"/>
      </w:pPr>
      <w:r>
        <w:rPr>
          <w:rFonts w:ascii="Calibri" w:cs="Calibri" w:eastAsia="Calibri" w:hAnsi="Calibri"/>
          <w:b w:val="false"/>
          <w:bCs w:val="false"/>
          <w:i w:val="false"/>
          <w:iCs w:val="false"/>
          <w:color w:val="1A1A1A"/>
          <w:sz w:val="21"/>
          <w:szCs w:val="21"/>
        </w:rPr>
        <w:t xml:space="preserve">Schrijf de iteratiestrategie voor het Programma Mutatieplatform op maximaal één A4, voor de programmastuurgroep: de drie rondes (breed-ondiep, pilot smal-diep, versnelde vervolgrondes), met per ronde het verwachte tijdsbeslag en waarom het sneller wordt. Dit A4 opent uw programmadossier, dat u door niveau 2 heen opbouwt naar de doelarchitectuur- en roadmapverdediging in deel 22. Deel 12 opent met peer feedback (feedbackvraag: "overtuigt dit een stuurgroep die twijfelt of vijf aparte projecten niet sneller zijn?").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Bijlage A — Vijf pijnpuntbeschrijvingen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Adreswijzigingen</w:t>
      </w:r>
      <w:r>
        <w:rPr>
          <w:rFonts w:ascii="Calibri" w:cs="Calibri" w:eastAsia="Calibri" w:hAnsi="Calibri"/>
          <w:b w:val="false"/>
          <w:bCs w:val="false"/>
          <w:i w:val="false"/>
          <w:iCs w:val="false"/>
          <w:color w:val="1A1A1A"/>
          <w:sz w:val="21"/>
          <w:szCs w:val="21"/>
        </w:rPr>
        <w:t xml:space="preserve"> — hoog volume (circa 400/maand), laag risico per mutatie, huidige doorlooptijd vijf werkdagen door onnodige handmatige controle.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Dienstverbandmutaties</w:t>
      </w:r>
      <w:r>
        <w:rPr>
          <w:rFonts w:ascii="Calibri" w:cs="Calibri" w:eastAsia="Calibri" w:hAnsi="Calibri"/>
          <w:b w:val="false"/>
          <w:bCs w:val="false"/>
          <w:i w:val="false"/>
          <w:iCs w:val="false"/>
          <w:color w:val="1A1A1A"/>
          <w:sz w:val="21"/>
          <w:szCs w:val="21"/>
        </w:rPr>
        <w:t xml:space="preserve"> — historie-kritisch (rechten hangen af van de juiste peildatum, zie niveau 1), gemiddeld volume, huidige verwerking deels handmatig via de bekende PA-Macro-opvolgers.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Begunstigdenwijzigingen</w:t>
      </w:r>
      <w:r>
        <w:rPr>
          <w:rFonts w:ascii="Calibri" w:cs="Calibri" w:eastAsia="Calibri" w:hAnsi="Calibri"/>
          <w:b w:val="false"/>
          <w:bCs w:val="false"/>
          <w:i w:val="false"/>
          <w:iCs w:val="false"/>
          <w:color w:val="1A1A1A"/>
          <w:sz w:val="21"/>
          <w:szCs w:val="21"/>
        </w:rPr>
        <w:t xml:space="preserve"> — laag volume, hoog fraude-risico, huidige autorisatie ad hoc en persoonsafhankelijk (geen vastgelegde matrix).</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Betalingsmutaties</w:t>
      </w:r>
      <w:r>
        <w:rPr>
          <w:rFonts w:ascii="Calibri" w:cs="Calibri" w:eastAsia="Calibri" w:hAnsi="Calibri"/>
          <w:b w:val="false"/>
          <w:bCs w:val="false"/>
          <w:i w:val="false"/>
          <w:iCs w:val="false"/>
          <w:color w:val="1A1A1A"/>
          <w:sz w:val="21"/>
          <w:szCs w:val="21"/>
        </w:rPr>
        <w:t xml:space="preserve"> — gemiddeld volume, sterke koppeling met het premiesysteem, huidige verwerking grotendeels geautomatiseerd maar foutgevoelig bij afwijkende IBAN-structuren.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Waardeoverdrachten</w:t>
      </w:r>
      <w:r>
        <w:rPr>
          <w:rFonts w:ascii="Calibri" w:cs="Calibri" w:eastAsia="Calibri" w:hAnsi="Calibri"/>
          <w:b w:val="false"/>
          <w:bCs w:val="false"/>
          <w:i w:val="false"/>
          <w:iCs w:val="false"/>
          <w:color w:val="1A1A1A"/>
          <w:sz w:val="21"/>
          <w:szCs w:val="21"/>
        </w:rPr>
        <w:t xml:space="preserve"> — laag volume, hoge juridische complexiteit (wettelijke termijnen, interactie met andere pensioenuitvoerders), huidige verwerking volledig handmatig door specialisten.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a-b. Gedeeld patroon: verzoek ontvangen → identiteit/bevoegdheid vaststellen → mutatie doorvoeren met domeinspecifieke controles → bevestigen. Generieke capability: "mutatieverzoeken identificeren, autoriseren en doorvoeren." c. Specifiek per afdeling: Adreswijzigingen — snelheid/lage-frictie-controle; Dienstverbandmutaties — historieregels en peildatumlogica; Begunstigden — de autorisatiematrix zelf; Betalingsmutaties — IBAN-validatie en premiesysteem-koppeling; Waardeoverdrachten — wettelijke termijnbewaking en externe partijen.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Het sjabloon van Betalingsmutaties draagt impliciet diens eigen aannames (hoog automatiseringsniveau, beperkte juridische toetsing) die voor Waardeoverdrachten ronduit gevaarlijk zijn — precies zoals één werkgeversdefinitie de andere twee afdelingen in niveau 1 onrecht deed. De oplossing is niet "het beste sjabloon", maar het gedeelde patroon met per-domein specialisatie.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spacing w:after="160" w:line="300"/>
        <w:jc w:val="left"/>
      </w:pPr>
      <w:r>
        <w:rPr>
          <w:rFonts w:ascii="Calibri" w:cs="Calibri" w:eastAsia="Calibri" w:hAnsi="Calibri"/>
          <w:b w:val="false"/>
          <w:bCs w:val="false"/>
          <w:i w:val="false"/>
          <w:iCs w:val="false"/>
          <w:color w:val="1A1A1A"/>
          <w:sz w:val="21"/>
          <w:szCs w:val="21"/>
        </w:rPr>
        <w:t xml:space="preserve">a-b. Modelvolgorde: Dienstverbandmutaties eerst (hoogste architectuurcomplexiteit, dus de generieke laag wordt hier het strengst getoetst — als zij hier werkt, werkt zij overal), dan Betalingsmutaties (bewezen automatisering, goede tweede test voor koppelingen), dan Adreswijzigingen (snelle winst, hoog volume, laag risico), dan Begunstigden en Waardeoverdrachten (laagste volume, meeste tijd nodig voor zorgvuldigheid, minste haast). Het argument voor complex-eerst: een pilot in het makkelijkste domein bewijst niets over de generieke laag — pas als de historie-kritische, meest veeleisende afdeling werkt, is de kern echt getest.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Risico: de eerste, moeilijkste ronde duurt langer dan een stuurgroep gewend is en kan als "traag van start" gelezen worden. Mitigatie: verwachtingsmanagement vooraf, expliciet in het A4 (opdracht 5) — benoem dat ronde 1 bewust investeert in versnelling van rondes 2-5.</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Modelparametrisering: "autorisatieniveau" als eigenschap van het mutatietype, ingesteld door de data-eigenaar van dat domein (Begunstigden → twee-ogen-principe verplicht; Adreswijzigingen → één-ogen met steekproefcontrole achteraf), vastgelegd in de generieke capability-specificatie en getoetst door de botsingsdetector bij elke wijziging.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Observatiepunten rollenspel: erkent de architect eerst het fraude-concern expliciet, vóór de parametriseringsoplossing wordt gepresenteerd? Wordt "flexibiliteit" vermeden als woord (het klinkt voor deze stakeholder als "losser"; beter: "per domein verdedigbaar ingesteld, niet universeel verzwakt")?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Middelen doet twee dingen fout tegelijk: Begunstigden krijgt minder bescherming dan nodig (het fraude-risico blijft), én Adreswijzigingen krijgt meer frictie dan nodig (onnodige vertraging bij laag risico) — precies zoals één werkgeversdefinitie zowel de contractpartij- als de aanlever-kant onrecht deed. Twee partijen slechter af, in plaats van één partij goed bediend en de andere ook.</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Generiek contract: architectuurfunctie + programmastuurgroep als partijen; principes "vermogens vóór systemen" en "eén waarheid per gegeven" (niveau 1) van toepassing; kernparameters (autorisatieniveau, historieregels) in eigendom bij de architectuurfunctie namens het gremium. Specialisatiecontract Dienstverbandmutaties: verwijst naar het generieke contract, regelt alleen de domeinspecifieke historielogica en het bouwteam ervoor.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Samenhangtoets: vijf teamleads + architectuurfunctie, tweewekelijks, kort (30 min); agenda uitsluitend raakvlakken (wijzigt team X iets aan de generieke laag dat team Y raakt?); expliciet géén voortgang-per-team (dat is voor de reguliere stuurgroepen).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Samenvoegen met de voortgangsstuurgroep verdringt raakvlakgesprekken door statusrapportages — precies het B9-patroon uit niveau 1 (een orgaan dat op tijd en geld stuurt, niet op samenhang) in het klein herhaald, nu met vijf teams in plaats van drie deelprojecten.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12)</w:t>
      </w:r>
    </w:p>
    <w:p>
      <w:pPr>
        <w:spacing w:after="160" w:line="300"/>
        <w:jc w:val="left"/>
      </w:pPr>
      <w:r>
        <w:rPr>
          <w:rFonts w:ascii="Calibri" w:cs="Calibri" w:eastAsia="Calibri" w:hAnsi="Calibri"/>
          <w:b w:val="false"/>
          <w:bCs w:val="false"/>
          <w:i w:val="false"/>
          <w:iCs w:val="false"/>
          <w:color w:val="1A1A1A"/>
          <w:sz w:val="21"/>
          <w:szCs w:val="21"/>
        </w:rPr>
        <w:t xml:space="preserve">Sterk: de versnelling per ronde concreet beargumenteerd (wat wordt hergebruikt, niet alleen "het gaat sneller"); de pilot-keuze verdedigd met het complex-eerst-argument; het stuk overtuigt op stuurgroepniveau (geen jargon zonder uitleg — dezelfde toets als niveau 1, deel 2). Zwak: een iteratiestrategie die eigenlijk vijf parallelle projecten beschrijft zonder gedeelde laag — dat is geen iteratie, dat is WGP 2.0 met een nieuwe naam.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2026-08-17T14:47:44.382Z</dcterms:created>
  <dcterms:modified xsi:type="dcterms:W3CDTF">2026-08-17T14:47:44.383Z</dcterms:modified>
</cp:coreProperties>
</file>

<file path=docProps/custom.xml><?xml version="1.0" encoding="utf-8"?>
<Properties xmlns="http://schemas.openxmlformats.org/officeDocument/2006/custom-properties" xmlns:vt="http://schemas.openxmlformats.org/officeDocument/2006/docPropsVTypes"/>
</file>