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2 — Deel 15</w:t>
      </w:r>
    </w:p>
    <w:p>
      <w:pPr>
        <w:spacing w:after="300"/>
      </w:pPr>
      <w:r>
        <w:rPr>
          <w:rFonts w:ascii="Calibri" w:cs="Calibri" w:eastAsia="Calibri" w:hAnsi="Calibri"/>
          <w:b/>
          <w:bCs/>
          <w:color w:val="14213D"/>
          <w:sz w:val="32"/>
          <w:szCs w:val="32"/>
        </w:rPr>
        <w:t xml:space="preserve">Docentenhandleiding — Solution- en projectarchitectuur (twee dagdelen)</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Duur: </w:t>
            </w:r>
            <w:r>
              <w:rPr>
                <w:rFonts w:ascii="Calibri" w:cs="Calibri" w:eastAsia="Calibri" w:hAnsi="Calibri"/>
                <w:b w:val="false"/>
                <w:bCs w:val="false"/>
                <w:i/>
                <w:iCs/>
                <w:color w:val="14213D"/>
                <w:sz w:val="20"/>
                <w:szCs w:val="20"/>
              </w:rPr>
              <w:t xml:space="preserve">twee dagdelen (elk 4 uur incl. pauze)</w:t>
            </w:r>
            <w:r>
              <w:rPr>
                <w:rFonts w:ascii="Calibri" w:cs="Calibri" w:eastAsia="Calibri" w:hAnsi="Calibri"/>
                <w:b w:val="false"/>
                <w:bCs w:val="false"/>
                <w:i/>
                <w:iCs/>
                <w:color w:val="14213D"/>
                <w:sz w:val="20"/>
                <w:szCs w:val="20"/>
              </w:rPr>
              <w:t xml:space="preserve">   ·   </w:t>
            </w:r>
            <w:r>
              <w:rPr>
                <w:rFonts w:ascii="Calibri" w:cs="Calibri" w:eastAsia="Calibri" w:hAnsi="Calibri"/>
                <w:b/>
                <w:bCs/>
                <w:i/>
                <w:iCs/>
                <w:color w:val="14213D"/>
                <w:sz w:val="20"/>
                <w:szCs w:val="20"/>
              </w:rPr>
              <w:t xml:space="preserve">Groepsgrootte: </w:t>
            </w:r>
            <w:r>
              <w:rPr>
                <w:rFonts w:ascii="Calibri" w:cs="Calibri" w:eastAsia="Calibri" w:hAnsi="Calibri"/>
                <w:b w:val="false"/>
                <w:bCs w:val="false"/>
                <w:i/>
                <w:iCs/>
                <w:color w:val="14213D"/>
                <w:sz w:val="20"/>
                <w:szCs w:val="20"/>
              </w:rPr>
              <w:t xml:space="preserve">8-16</w:t>
            </w:r>
            <w:r>
              <w:rPr>
                <w:rFonts w:ascii="Calibri" w:cs="Calibri" w:eastAsia="Calibri" w:hAnsi="Calibri"/>
                <w:b w:val="false"/>
                <w:bCs w:val="false"/>
                <w:i/>
                <w:iCs/>
                <w:color w:val="14213D"/>
                <w:sz w:val="20"/>
                <w:szCs w:val="20"/>
              </w:rPr>
              <w:t xml:space="preserve">   ·   </w:t>
            </w:r>
            <w:r>
              <w:rPr>
                <w:rFonts w:ascii="Calibri" w:cs="Calibri" w:eastAsia="Calibri" w:hAnsi="Calibri"/>
                <w:b/>
                <w:bCs/>
                <w:i/>
                <w:iCs/>
                <w:color w:val="14213D"/>
                <w:sz w:val="20"/>
                <w:szCs w:val="20"/>
              </w:rPr>
              <w:t xml:space="preserve">Voorkennis: </w:t>
            </w:r>
            <w:r>
              <w:rPr>
                <w:rFonts w:ascii="Calibri" w:cs="Calibri" w:eastAsia="Calibri" w:hAnsi="Calibri"/>
                <w:b w:val="false"/>
                <w:bCs w:val="false"/>
                <w:i/>
                <w:iCs/>
                <w:color w:val="14213D"/>
                <w:sz w:val="20"/>
                <w:szCs w:val="20"/>
              </w:rPr>
              <w:t xml:space="preserve">niveau 1 deel 9, niveau 2 deel 11</w:t>
            </w:r>
            <w:r>
              <w:rPr>
                <w:rFonts w:ascii="Calibri" w:cs="Calibri" w:eastAsia="Calibri" w:hAnsi="Calibri"/>
                <w:b w:val="false"/>
                <w:bCs w:val="false"/>
                <w:i/>
                <w:iCs/>
                <w:color w:val="14213D"/>
                <w:sz w:val="20"/>
                <w:szCs w:val="20"/>
              </w:rPr>
              <w:t xml:space="preserve">   ·   </w:t>
            </w:r>
            <w:r>
              <w:rPr>
                <w:rFonts w:ascii="Calibri" w:cs="Calibri" w:eastAsia="Calibri" w:hAnsi="Calibri"/>
                <w:b/>
                <w:bCs/>
                <w:i/>
                <w:iCs/>
                <w:color w:val="14213D"/>
                <w:sz w:val="20"/>
                <w:szCs w:val="20"/>
              </w:rPr>
              <w:t xml:space="preserve">Materiaal: </w:t>
            </w:r>
            <w:r>
              <w:rPr>
                <w:rFonts w:ascii="Calibri" w:cs="Calibri" w:eastAsia="Calibri" w:hAnsi="Calibri"/>
                <w:b w:val="false"/>
                <w:bCs w:val="false"/>
                <w:i/>
                <w:iCs/>
                <w:color w:val="14213D"/>
                <w:sz w:val="20"/>
                <w:szCs w:val="20"/>
              </w:rPr>
              <w:t xml:space="preserve">reader/werkboek/slidedeck deel 15, rolkaart "projectleider" (dagdeel B, opdracht 3b)</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Plaats van dit deel in het niveau</w:t>
      </w:r>
    </w:p>
    <w:p>
      <w:pPr>
        <w:spacing w:after="160" w:line="300"/>
        <w:jc w:val="left"/>
      </w:pPr>
      <w:r>
        <w:rPr>
          <w:rFonts w:ascii="Calibri" w:cs="Calibri" w:eastAsia="Calibri" w:hAnsi="Calibri"/>
          <w:b w:val="false"/>
          <w:bCs w:val="false"/>
          <w:i w:val="false"/>
          <w:iCs w:val="false"/>
          <w:color w:val="1A1A1A"/>
          <w:sz w:val="21"/>
          <w:szCs w:val="21"/>
        </w:rPr>
        <w:t xml:space="preserve">Het eerste tweedagdelen-deel van niveau 2. Dagdeel A bouwt het product (de PSA); dagdeel B beproeft het als levend document. Plan een korte terugblik aan het begin van dagdeel B, ook als de twee dagdelen kort op elkaar volgen — de PSA uit dagdeel A moet weer paraat zijn.</w:t>
      </w:r>
    </w:p>
    <w:p>
      <w:pPr>
        <w:pStyle w:val="Heading2"/>
        <w:pBdr>
          <w:bottom w:val="single" w:color="2563A8" w:sz="6" w:space="4"/>
        </w:pBdr>
        <w:spacing w:after="160" w:before="300"/>
      </w:pPr>
      <w:r>
        <w:rPr>
          <w:rFonts w:ascii="Calibri" w:cs="Calibri" w:eastAsia="Calibri" w:hAnsi="Calibri"/>
          <w:b/>
          <w:bCs/>
          <w:color w:val="2563A8"/>
          <w:sz w:val="24"/>
          <w:szCs w:val="24"/>
        </w:rPr>
        <w:t xml:space="preserve">Dagdeelplanning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0:00–0:10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tweetallen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0:10–0:25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Casus + drie horizonnen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0:25–0:50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 — bindend versus vrij</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drietallen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0:50–1:10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Theorie: inhoud PSA</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1:10–1:25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1:25–1:45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Theorie: traceerbaarheid naar beneden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1:45–3:25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2 — de PSA opstellen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viertallen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3:25–4:00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Presentaties + afsluiting dagdeel A</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Dagdeelplanning 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0:00–0:15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Terugblik dagdeel A + casus scope creep</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0:15–0:45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3 — scope creep + rollenspel</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drietallen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0:45–1:05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Theorie: PSA-toetsing versus samenhangtoets</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1:05–1:20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1:20–1:45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4 — PSA-toetsing versus samenhangtoets</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tweetallen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1:45–2:30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Verwerkingstijd huiswerk (PSA + log afronden)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begeleid</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2:30–2:45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Samenvatting + huiswerk</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bl>
    <w:p>
      <w:pPr>
        <w:spacing w:before="200"/>
      </w:pPr>
    </w:p>
    <w:p>
      <w:pPr>
        <w:spacing w:before="300"/>
      </w:pPr>
      <w:r>
        <w:rPr>
          <w:rFonts w:ascii="Calibri" w:cs="Calibri" w:eastAsia="Calibri" w:hAnsi="Calibri"/>
          <w:i/>
          <w:iCs/>
          <w:color w:val="6B7280"/>
          <w:sz w:val="20"/>
          <w:szCs w:val="20"/>
        </w:rPr>
        <w:t xml:space="preserve">(Restresterende tijd in dagdeel B kan worden ingevuld met verdiepende PSA-uitwisseling tussen groepjes of vooruitblik op deel 16, afhankelijk van tempo.)</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Didactische aanwijzingen per onderdeel</w:t>
      </w:r>
    </w:p>
    <w:p>
      <w:pPr>
        <w:spacing w:after="160" w:line="300"/>
        <w:jc w:val="left"/>
      </w:pPr>
      <w:r>
        <w:rPr>
          <w:rFonts w:ascii="Calibri" w:cs="Calibri" w:eastAsia="Calibri" w:hAnsi="Calibri"/>
          <w:b/>
          <w:bCs/>
          <w:i w:val="false"/>
          <w:iCs w:val="false"/>
          <w:color w:val="1A1A1A"/>
          <w:sz w:val="21"/>
          <w:szCs w:val="21"/>
        </w:rPr>
        <w:t xml:space="preserve">Opdracht 1.</w:t>
      </w:r>
      <w:r>
        <w:rPr>
          <w:rFonts w:ascii="Calibri" w:cs="Calibri" w:eastAsia="Calibri" w:hAnsi="Calibri"/>
          <w:b w:val="false"/>
          <w:bCs w:val="false"/>
          <w:i w:val="false"/>
          <w:iCs w:val="false"/>
          <w:color w:val="1A1A1A"/>
          <w:sz w:val="21"/>
          <w:szCs w:val="21"/>
        </w:rPr>
        <w:t xml:space="preserve"> De randgevallen (6, 7) zijn het leerpunt: laat groepjes ontdekken dat hun classificatie kan verschuiven zodra ze bedenken dat de regel ook voor andere domeinen geldt — dat is precies de generiek-of-specifiek-vraag die dagdeel B centraal stelt. Zaai die twijfel bewust, los hem niet meteen op.</w:t>
      </w:r>
    </w:p>
    <w:p>
      <w:pPr>
        <w:spacing w:after="160" w:line="300"/>
        <w:jc w:val="left"/>
      </w:pPr>
      <w:r>
        <w:rPr>
          <w:rFonts w:ascii="Calibri" w:cs="Calibri" w:eastAsia="Calibri" w:hAnsi="Calibri"/>
          <w:b/>
          <w:bCs/>
          <w:i w:val="false"/>
          <w:iCs w:val="false"/>
          <w:color w:val="1A1A1A"/>
          <w:sz w:val="21"/>
          <w:szCs w:val="21"/>
        </w:rPr>
        <w:t xml:space="preserve">Opdracht 2.</w:t>
      </w:r>
      <w:r>
        <w:rPr>
          <w:rFonts w:ascii="Calibri" w:cs="Calibri" w:eastAsia="Calibri" w:hAnsi="Calibri"/>
          <w:b w:val="false"/>
          <w:bCs w:val="false"/>
          <w:i w:val="false"/>
          <w:iCs w:val="false"/>
          <w:color w:val="1A1A1A"/>
          <w:sz w:val="21"/>
          <w:szCs w:val="21"/>
        </w:rPr>
        <w:t xml:space="preserve"> De grootste valkuil is een PSA die het generieke contract kopieert. Loop rond met de vraag: "staat dit hier omdat het uniek is voor Dienstverbandmutaties, of omdat het overal geldt?" — bij twijfel: verwijzen, niet herhalen.</w:t>
      </w:r>
    </w:p>
    <w:p>
      <w:pPr>
        <w:spacing w:after="160" w:line="300"/>
        <w:jc w:val="left"/>
      </w:pPr>
      <w:r>
        <w:rPr>
          <w:rFonts w:ascii="Calibri" w:cs="Calibri" w:eastAsia="Calibri" w:hAnsi="Calibri"/>
          <w:b/>
          <w:bCs/>
          <w:i w:val="false"/>
          <w:iCs w:val="false"/>
          <w:color w:val="1A1A1A"/>
          <w:sz w:val="21"/>
          <w:szCs w:val="21"/>
        </w:rPr>
        <w:t xml:space="preserve">Opdracht 3 (dagdeel B).</w:t>
      </w:r>
      <w:r>
        <w:rPr>
          <w:rFonts w:ascii="Calibri" w:cs="Calibri" w:eastAsia="Calibri" w:hAnsi="Calibri"/>
          <w:b w:val="false"/>
          <w:bCs w:val="false"/>
          <w:i w:val="false"/>
          <w:iCs w:val="false"/>
          <w:color w:val="1A1A1A"/>
          <w:sz w:val="21"/>
          <w:szCs w:val="21"/>
        </w:rPr>
        <w:t xml:space="preserve"> Het rollenspel is scherper dan eerdere varianten omdat de projectleider hier geen ongelijk heeft — de wens is goed, alleen de plek waar hij hoort te landen verschuift. Brief de rolspeler om precies op dat gevoel te spelen ("we raken iets kwijt") totdat de architect uitlegt dat het project de functionaliteit gewoon krijgt, alleen via de bredere route.</w:t>
      </w:r>
    </w:p>
    <w:p>
      <w:pPr>
        <w:spacing w:after="160" w:line="300"/>
        <w:jc w:val="left"/>
      </w:pPr>
      <w:r>
        <w:rPr>
          <w:rFonts w:ascii="Calibri" w:cs="Calibri" w:eastAsia="Calibri" w:hAnsi="Calibri"/>
          <w:b/>
          <w:bCs/>
          <w:i w:val="false"/>
          <w:iCs w:val="false"/>
          <w:color w:val="1A1A1A"/>
          <w:sz w:val="21"/>
          <w:szCs w:val="21"/>
        </w:rPr>
        <w:t xml:space="preserve">Opdracht 4c.</w:t>
      </w:r>
      <w:r>
        <w:rPr>
          <w:rFonts w:ascii="Calibri" w:cs="Calibri" w:eastAsia="Calibri" w:hAnsi="Calibri"/>
          <w:b w:val="false"/>
          <w:bCs w:val="false"/>
          <w:i w:val="false"/>
          <w:iCs w:val="false"/>
          <w:color w:val="1A1A1A"/>
          <w:sz w:val="21"/>
          <w:szCs w:val="21"/>
        </w:rPr>
        <w:t xml:space="preserve"> Laat de groep zelf het B9-argument terughalen — vraag "waar zagen we dit onderscheid eerder?" in plaats van te verwijzen.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Veelgestelde vragen en gevoeligheden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"Hebben alle vier de nog te starten mutatieprojecten straks ook een eigen PSA?"</w:t>
      </w:r>
      <w:r>
        <w:rPr>
          <w:rFonts w:ascii="Calibri" w:cs="Calibri" w:eastAsia="Calibri" w:hAnsi="Calibri"/>
          <w:b w:val="false"/>
          <w:bCs w:val="false"/>
          <w:i w:val="false"/>
          <w:iCs w:val="false"/>
          <w:color w:val="1A1A1A"/>
          <w:sz w:val="21"/>
          <w:szCs w:val="21"/>
        </w:rPr>
        <w:t xml:space="preserve"> — Ja, en die worden sneller op te stellen naarmate de generieke laag stabieler is (het versnellingsargument uit deel 11, §6) — de PSA van project 2 hoeft niet opnieuw te beargumenteren wat project 1 al vastlegde.</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Voorbereiding volgende bijeenkomst</w:t>
      </w:r>
    </w:p>
    <w:p>
      <w:pPr>
        <w:spacing w:after="160" w:line="300"/>
        <w:jc w:val="left"/>
      </w:pPr>
      <w:r>
        <w:rPr>
          <w:rFonts w:ascii="Calibri" w:cs="Calibri" w:eastAsia="Calibri" w:hAnsi="Calibri"/>
          <w:b w:val="false"/>
          <w:bCs w:val="false"/>
          <w:i w:val="false"/>
          <w:iCs w:val="false"/>
          <w:color w:val="1A1A1A"/>
          <w:sz w:val="21"/>
          <w:szCs w:val="21"/>
        </w:rPr>
        <w:t xml:space="preserve">PSA's + logs vooraf laten inleveren. Deel 16 (data- en integratiearchitectuur) bouwt op de PSA-requirements van vandaag voort met concrete datamodellen en koppelvlakken.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15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2026-08-17T14:47:47.572Z</dcterms:created>
  <dcterms:modified xsi:type="dcterms:W3CDTF">2026-08-17T14:47:47.574Z</dcterms:modified>
</cp:coreProperties>
</file>

<file path=docProps/custom.xml><?xml version="1.0" encoding="utf-8"?>
<Properties xmlns="http://schemas.openxmlformats.org/officeDocument/2006/custom-properties" xmlns:vt="http://schemas.openxmlformats.org/officeDocument/2006/docPropsVTypes"/>
</file>