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15</w:t>
      </w:r>
    </w:p>
    <w:p>
      <w:pPr>
        <w:spacing w:after="300"/>
      </w:pPr>
      <w:r>
        <w:rPr>
          <w:rFonts w:ascii="Calibri" w:cs="Calibri" w:eastAsia="Calibri" w:hAnsi="Calibri"/>
          <w:b/>
          <w:bCs/>
          <w:color w:val="14213D"/>
          <w:sz w:val="40"/>
          <w:szCs w:val="40"/>
        </w:rPr>
        <w:t xml:space="preserve">Solution- en projectarchitectuur: van enterprise naar project</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Dit deel beslaat twee dagdelen. Dagdeel A behandelt de projectstartarchitectuur (PSA) als product; dagdeel B behandelt de PSA in de praktijk — als levend document tijdens de bouw. Examenstof Practitioner: de relatie tussen enterprise-, programma- en solution-architectuur, en de PSA als kernproduct.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Dagdeel A — De projectstartarchitectuur</w:t>
      </w:r>
    </w:p>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dagdeel A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onderscheid enterprise-/programma-/solution-architectuur toepassen op een concreet project;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projectstartarchitectuur (PSA) opstellen die correct afleidt uit het programmamodel;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traceren welke enterprise- en programmaprincipes, -standaarden en -requirements een project bindend zijn, en welke ruimte voor projectkeuzes overblijft;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PSA positioneren ten opzichte van het Architecture Contract (niveau 1, deel 9) en het generieke/specialisatiecontract (deel 11).</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het eerste bouwteam</w:t>
      </w:r>
    </w:p>
    <w:p>
      <w:pPr>
        <w:spacing w:after="160" w:line="300"/>
        <w:jc w:val="left"/>
      </w:pPr>
      <w:r>
        <w:rPr>
          <w:rFonts w:ascii="Calibri" w:cs="Calibri" w:eastAsia="Calibri" w:hAnsi="Calibri"/>
          <w:b w:val="false"/>
          <w:bCs w:val="false"/>
          <w:i w:val="false"/>
          <w:iCs w:val="false"/>
          <w:color w:val="1A1A1A"/>
          <w:sz w:val="21"/>
          <w:szCs w:val="21"/>
        </w:rPr>
        <w:t xml:space="preserve">De pilot is gekozen (deel 11): Dienstverbandmutaties. Er is nu een concreet projectteam, een projectleider, en een eerste vraag die op uw bureau landt: </w:t>
      </w:r>
      <w:r>
        <w:rPr>
          <w:rFonts w:ascii="Calibri" w:cs="Calibri" w:eastAsia="Calibri" w:hAnsi="Calibri"/>
          <w:b w:val="false"/>
          <w:bCs w:val="false"/>
          <w:i/>
          <w:iCs/>
          <w:color w:val="1A1A1A"/>
          <w:sz w:val="21"/>
          <w:szCs w:val="21"/>
        </w:rPr>
        <w:t xml:space="preserve">"Wij gaan bouwen. Wat moeten we nou precies volgen, en wat mogen we zelf beslissen?"</w:t>
      </w:r>
    </w:p>
    <w:p>
      <w:pPr>
        <w:spacing w:after="160" w:line="300"/>
        <w:jc w:val="left"/>
      </w:pPr>
      <w:r>
        <w:rPr>
          <w:rFonts w:ascii="Calibri" w:cs="Calibri" w:eastAsia="Calibri" w:hAnsi="Calibri"/>
          <w:b w:val="false"/>
          <w:bCs w:val="false"/>
          <w:i w:val="false"/>
          <w:iCs w:val="false"/>
          <w:color w:val="1A1A1A"/>
          <w:sz w:val="21"/>
          <w:szCs w:val="21"/>
        </w:rPr>
        <w:t xml:space="preserve">Dit is de vraag die niveau 1 (deel 9, §5) en deel 11 (§5) op hoofdlijnen al beantwoordden met het Architecture Contract. De PSA is het document waarin dat antwoord voor dít ene project concreet, compleet en bruikbaar wordt — het instrument waarmee een projectteam zonder architectuuropleiding toch binnen de kaders kan bouwen.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Drie horizonnen, nog een keer, nu scherp</w:t>
      </w:r>
    </w:p>
    <w:p>
      <w:pPr>
        <w:spacing w:after="160" w:line="300"/>
        <w:jc w:val="left"/>
      </w:pPr>
      <w:r>
        <w:rPr>
          <w:rFonts w:ascii="Calibri" w:cs="Calibri" w:eastAsia="Calibri" w:hAnsi="Calibri"/>
          <w:b w:val="false"/>
          <w:bCs w:val="false"/>
          <w:i w:val="false"/>
          <w:iCs w:val="false"/>
          <w:color w:val="1A1A1A"/>
          <w:sz w:val="21"/>
          <w:szCs w:val="21"/>
        </w:rPr>
        <w:t xml:space="preserve">Niveau 1 (deel 1, §5.1) introduceerde het onderscheid in horizon: enterprise-architectuur (jaren, samenhang), solution-architectuur (maanden, één oplossing). Deel 11 voegde het programmaniveau ertussen. Voor het Dienstverbandmutaties-project vallen alle drie samen: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Enterprise-niveau:</w:t>
      </w:r>
      <w:r>
        <w:rPr>
          <w:rFonts w:ascii="Calibri" w:cs="Calibri" w:eastAsia="Calibri" w:hAnsi="Calibri"/>
          <w:b w:val="false"/>
          <w:bCs w:val="false"/>
          <w:i w:val="false"/>
          <w:iCs w:val="false"/>
          <w:color w:val="1A1A1A"/>
          <w:sz w:val="21"/>
          <w:szCs w:val="21"/>
        </w:rPr>
        <w:t xml:space="preserve"> de principes uit niveau 1, deel 9 (eén waarheid per gegeven, vermogens vóór systemen) — gelden overal, altijd.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Programmaniveau:</w:t>
      </w:r>
      <w:r>
        <w:rPr>
          <w:rFonts w:ascii="Calibri" w:cs="Calibri" w:eastAsia="Calibri" w:hAnsi="Calibri"/>
          <w:b w:val="false"/>
          <w:bCs w:val="false"/>
          <w:i w:val="false"/>
          <w:iCs w:val="false"/>
          <w:color w:val="1A1A1A"/>
          <w:sz w:val="21"/>
          <w:szCs w:val="21"/>
        </w:rPr>
        <w:t xml:space="preserve"> de generieke mutatieverwerkingscapability, het generieke contract, de parametriseringsregels (deel 11) — gelden voor elk mutatieplatform-project.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Solution-/projectniveau:</w:t>
      </w:r>
      <w:r>
        <w:rPr>
          <w:rFonts w:ascii="Calibri" w:cs="Calibri" w:eastAsia="Calibri" w:hAnsi="Calibri"/>
          <w:b w:val="false"/>
          <w:bCs w:val="false"/>
          <w:i w:val="false"/>
          <w:iCs w:val="false"/>
          <w:color w:val="1A1A1A"/>
          <w:sz w:val="21"/>
          <w:szCs w:val="21"/>
        </w:rPr>
        <w:t xml:space="preserve"> hoe Dienstverbandmutaties specifiek de historieregels implementeert, welk team, welke sprint-planning — geldt alleen hier.</w:t>
      </w:r>
    </w:p>
    <w:p>
      <w:pPr>
        <w:spacing w:after="160" w:line="300"/>
        <w:jc w:val="left"/>
      </w:pPr>
      <w:r>
        <w:rPr>
          <w:rFonts w:ascii="Calibri" w:cs="Calibri" w:eastAsia="Calibri" w:hAnsi="Calibri"/>
          <w:b w:val="false"/>
          <w:bCs w:val="false"/>
          <w:i w:val="false"/>
          <w:iCs w:val="false"/>
          <w:color w:val="1A1A1A"/>
          <w:sz w:val="21"/>
          <w:szCs w:val="21"/>
        </w:rPr>
        <w:t xml:space="preserve">De PSA is het document dat deze drie niveaus voor één project </w:t>
      </w:r>
      <w:r>
        <w:rPr>
          <w:rFonts w:ascii="Calibri" w:cs="Calibri" w:eastAsia="Calibri" w:hAnsi="Calibri"/>
          <w:b/>
          <w:bCs/>
          <w:i w:val="false"/>
          <w:iCs w:val="false"/>
          <w:color w:val="1A1A1A"/>
          <w:sz w:val="21"/>
          <w:szCs w:val="21"/>
        </w:rPr>
        <w:t xml:space="preserve">bij elkaar brengt en scheidt</w:t>
      </w:r>
      <w:r>
        <w:rPr>
          <w:rFonts w:ascii="Calibri" w:cs="Calibri" w:eastAsia="Calibri" w:hAnsi="Calibri"/>
          <w:b w:val="false"/>
          <w:bCs w:val="false"/>
          <w:i w:val="false"/>
          <w:iCs w:val="false"/>
          <w:color w:val="1A1A1A"/>
          <w:sz w:val="21"/>
          <w:szCs w:val="21"/>
        </w:rPr>
        <w:t xml:space="preserve">: wat is bindend (van boven), wat is vrij (hier te beslissen).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Inhoud van de PSA</w:t>
      </w:r>
    </w:p>
    <w:p>
      <w:pPr>
        <w:spacing w:after="160" w:line="300"/>
        <w:jc w:val="left"/>
      </w:pPr>
      <w:r>
        <w:rPr>
          <w:rFonts w:ascii="Calibri" w:cs="Calibri" w:eastAsia="Calibri" w:hAnsi="Calibri"/>
          <w:b w:val="false"/>
          <w:bCs w:val="false"/>
          <w:i w:val="false"/>
          <w:iCs w:val="false"/>
          <w:color w:val="1A1A1A"/>
          <w:sz w:val="21"/>
          <w:szCs w:val="21"/>
        </w:rPr>
        <w:t xml:space="preserve">Een PSA bevat, gedestilleerd uit de bovenliggende niveaus: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Bindende kaders:</w:t>
      </w:r>
      <w:r>
        <w:rPr>
          <w:rFonts w:ascii="Calibri" w:cs="Calibri" w:eastAsia="Calibri" w:hAnsi="Calibri"/>
          <w:b w:val="false"/>
          <w:bCs w:val="false"/>
          <w:i w:val="false"/>
          <w:iCs w:val="false"/>
          <w:color w:val="1A1A1A"/>
          <w:sz w:val="21"/>
          <w:szCs w:val="21"/>
        </w:rPr>
        <w:t xml:space="preserve"> de relevante principes (met verwijzing naar niveau 1, deel 9), de relevante standaarden (verwijzing naar de Standards Library, niveau 1, deel 7), de generieke contractvoorwaarden (deel 11, §5.2).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Projectspecifieke requirements:</w:t>
      </w:r>
      <w:r>
        <w:rPr>
          <w:rFonts w:ascii="Calibri" w:cs="Calibri" w:eastAsia="Calibri" w:hAnsi="Calibri"/>
          <w:b w:val="false"/>
          <w:bCs w:val="false"/>
          <w:i w:val="false"/>
          <w:iCs w:val="false"/>
          <w:color w:val="1A1A1A"/>
          <w:sz w:val="21"/>
          <w:szCs w:val="21"/>
        </w:rPr>
        <w:t xml:space="preserve"> de historieregels voor Dienstverbandmutaties (afgeleid van de casus in niveau 1, deel 5 — de opvolgingsrelatie, de peildatum), nu als concrete bouwrequirements.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Projectspecifieke ontwerpruimte:</w:t>
      </w:r>
      <w:r>
        <w:rPr>
          <w:rFonts w:ascii="Calibri" w:cs="Calibri" w:eastAsia="Calibri" w:hAnsi="Calibri"/>
          <w:b w:val="false"/>
          <w:bCs w:val="false"/>
          <w:i w:val="false"/>
          <w:iCs w:val="false"/>
          <w:color w:val="1A1A1A"/>
          <w:sz w:val="21"/>
          <w:szCs w:val="21"/>
        </w:rPr>
        <w:t xml:space="preserve"> wat het team zelf mag beslissen — technologiekeuzes binnen de aanbevolen standaard, sprintvolgorde, interne teamorganisatie.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Raakvlakken:</w:t>
      </w:r>
      <w:r>
        <w:rPr>
          <w:rFonts w:ascii="Calibri" w:cs="Calibri" w:eastAsia="Calibri" w:hAnsi="Calibri"/>
          <w:b w:val="false"/>
          <w:bCs w:val="false"/>
          <w:i w:val="false"/>
          <w:iCs w:val="false"/>
          <w:color w:val="1A1A1A"/>
          <w:sz w:val="21"/>
          <w:szCs w:val="21"/>
        </w:rPr>
        <w:t xml:space="preserve"> koppelingen met andere lopende of geplande projecten (de andere vier mutatie-afdelingen, nog niet gestart maar wel al deels ontworpen op de generieke laag).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Toetsmomenten:</w:t>
      </w:r>
      <w:r>
        <w:rPr>
          <w:rFonts w:ascii="Calibri" w:cs="Calibri" w:eastAsia="Calibri" w:hAnsi="Calibri"/>
          <w:b w:val="false"/>
          <w:bCs w:val="false"/>
          <w:i w:val="false"/>
          <w:iCs w:val="false"/>
          <w:color w:val="1A1A1A"/>
          <w:sz w:val="21"/>
          <w:szCs w:val="21"/>
        </w:rPr>
        <w:t xml:space="preserve"> afgeleid van het generieke contract, hier concreet gepland in de projectkalender.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De vuistregel.</w:t>
            </w:r>
            <w:r>
              <w:rPr>
                <w:rFonts w:ascii="Calibri" w:cs="Calibri" w:eastAsia="Calibri" w:hAnsi="Calibri"/>
                <w:b w:val="false"/>
                <w:bCs w:val="false"/>
                <w:i/>
                <w:iCs/>
                <w:color w:val="14213D"/>
                <w:sz w:val="20"/>
                <w:szCs w:val="20"/>
              </w:rPr>
              <w:t xml:space="preserve"> Een PSA die alles herhaalt wat al in het generieke contract stond, is verspilde moeite; een PSA die niets specificeert, laat het team gissen. De juiste PSA bevat precies het verschil tussen "wat overal geldt" en "wat hier geldt" — niets meer, niets minder.</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Traceerbaarheid naar beneden</w:t>
      </w:r>
    </w:p>
    <w:p>
      <w:pPr>
        <w:spacing w:after="160" w:line="300"/>
        <w:jc w:val="left"/>
      </w:pPr>
      <w:r>
        <w:rPr>
          <w:rFonts w:ascii="Calibri" w:cs="Calibri" w:eastAsia="Calibri" w:hAnsi="Calibri"/>
          <w:b w:val="false"/>
          <w:bCs w:val="false"/>
          <w:i w:val="false"/>
          <w:iCs w:val="false"/>
          <w:color w:val="1A1A1A"/>
          <w:sz w:val="21"/>
          <w:szCs w:val="21"/>
        </w:rPr>
        <w:t xml:space="preserve">De volledige keten uit deel 13 (stakeholder → driver → goal → … → node) werkt ook omgekeerd, en dat is precies wat een PSA moet kunnen: elke requirement in de PSA moet traceerbaar zijn naar een programmadoel of enterprise-principe. Een requirement die niet te traceren is, is een verdachte requirement — exact dezelfde logica als deel 13, §5, nu toegepast op het moment van projectstart in plaats van achteraf bij een audit.</w:t>
      </w:r>
    </w:p>
    <w:p>
      <w:pPr>
        <w:pStyle w:val="Heading2"/>
        <w:pBdr>
          <w:bottom w:val="single" w:color="2563A8" w:sz="6" w:space="4"/>
        </w:pBdr>
        <w:spacing w:after="160" w:before="300"/>
      </w:pPr>
      <w:r>
        <w:rPr>
          <w:rFonts w:ascii="Calibri" w:cs="Calibri" w:eastAsia="Calibri" w:hAnsi="Calibri"/>
          <w:b/>
          <w:bCs/>
          <w:color w:val="2563A8"/>
          <w:sz w:val="24"/>
          <w:szCs w:val="24"/>
        </w:rPr>
        <w:t xml:space="preserve">Dagdeel B — De PSA in de praktijk</w:t>
      </w:r>
    </w:p>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dagdeel B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PSA als levend document beheren tijdens de bouw, inclusief wijzigingen;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scope creep op projectniveau herkennen en hanteren binnen het Requirements Management-proces (niveau 1, deel 2; deel 11, §4);</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relatie tussen PSA-toetsing en de samenhangtoets (deel 11, §5.2) expliciteren;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projectevaluatie voorbereiden die teruggrijpt op de PSA als toetssteen.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De PSA is geen contract dat je tekent en vergeet</w:t>
      </w:r>
    </w:p>
    <w:p>
      <w:pPr>
        <w:spacing w:after="160" w:line="300"/>
        <w:jc w:val="left"/>
      </w:pPr>
      <w:r>
        <w:rPr>
          <w:rFonts w:ascii="Calibri" w:cs="Calibri" w:eastAsia="Calibri" w:hAnsi="Calibri"/>
          <w:b w:val="false"/>
          <w:bCs w:val="false"/>
          <w:i w:val="false"/>
          <w:iCs w:val="false"/>
          <w:color w:val="1A1A1A"/>
          <w:sz w:val="21"/>
          <w:szCs w:val="21"/>
        </w:rPr>
        <w:t xml:space="preserve">Niveau 1 (deel 9, §5) waarschuwde al: een getekend contract zonder tussentijdse toetsing is een intentieverklaring. Voor de PSA geldt hetzelfde, scherper: een project van een half jaar verandert onderweg — nieuwe inzichten, een gewijzigde afhankelijkheid met een ander mutatieplatform-project, een technologiebeperking die pas bij het bouwen zichtbaar wordt. De PSA moet daarom </w:t>
      </w:r>
      <w:r>
        <w:rPr>
          <w:rFonts w:ascii="Calibri" w:cs="Calibri" w:eastAsia="Calibri" w:hAnsi="Calibri"/>
          <w:b/>
          <w:bCs/>
          <w:i w:val="false"/>
          <w:iCs w:val="false"/>
          <w:color w:val="1A1A1A"/>
          <w:sz w:val="21"/>
          <w:szCs w:val="21"/>
        </w:rPr>
        <w:t xml:space="preserve">wijzigbaar zijn volgens een lichte, snelle procedure</w:t>
      </w:r>
      <w:r>
        <w:rPr>
          <w:rFonts w:ascii="Calibri" w:cs="Calibri" w:eastAsia="Calibri" w:hAnsi="Calibri"/>
          <w:b w:val="false"/>
          <w:bCs w:val="false"/>
          <w:i w:val="false"/>
          <w:iCs w:val="false"/>
          <w:color w:val="1A1A1A"/>
          <w:sz w:val="21"/>
          <w:szCs w:val="21"/>
        </w:rPr>
        <w:t xml:space="preserve">, niet star vastliggen tot de oplevering.</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Scope creep: het projectniveau van Requirements Management</w:t>
      </w:r>
    </w:p>
    <w:p>
      <w:pPr>
        <w:spacing w:after="160" w:line="300"/>
        <w:jc w:val="left"/>
      </w:pPr>
      <w:r>
        <w:rPr>
          <w:rFonts w:ascii="Calibri" w:cs="Calibri" w:eastAsia="Calibri" w:hAnsi="Calibri"/>
          <w:b w:val="false"/>
          <w:bCs w:val="false"/>
          <w:i w:val="false"/>
          <w:iCs w:val="false"/>
          <w:color w:val="1A1A1A"/>
          <w:sz w:val="21"/>
          <w:szCs w:val="21"/>
        </w:rPr>
        <w:t xml:space="preserve">Tijdens de bouw meldt de deelnemersadministratie (die de dienstverbandmutaties direct raakt) een aanvullende wens: automatische signalering bij mutaties die pensioenopbouw raken. Dit is inhoudelijk sterk (het is precies de 24-uurs-signaalregel uit niveau 1, deel 5), maar het stond niet in de oorspronkelijke PSA.</w:t>
      </w:r>
    </w:p>
    <w:p>
      <w:pPr>
        <w:spacing w:after="160" w:line="300"/>
        <w:jc w:val="left"/>
      </w:pPr>
      <w:r>
        <w:rPr>
          <w:rFonts w:ascii="Calibri" w:cs="Calibri" w:eastAsia="Calibri" w:hAnsi="Calibri"/>
          <w:b w:val="false"/>
          <w:bCs w:val="false"/>
          <w:i w:val="false"/>
          <w:iCs w:val="false"/>
          <w:color w:val="1A1A1A"/>
          <w:sz w:val="21"/>
          <w:szCs w:val="21"/>
        </w:rPr>
        <w:t xml:space="preserve">Het proces is nu bekend: vastleggen, impact bepalen (raakt dit de generieke laag, of blijft het projectspecifiek?), besluiten (binnen het project op te lossen, of terug naar het generieke niveau omdat andere mutatieprojecten dit ook nodig zullen hebben?), gericht herzien. De vraag "is dit generiek of specifiek" is hier het onderscheidende element: een requirement die één project raakt, wordt in de PSA verwerkt; een requirement die het gedeelde patroon (deel 11, §3) raakt, gaat naar de architectuurfunctie en mogelijk het gremium — de signalering blijkt bij nader inzien voor alle vijf domeinen relevant, en verhuist dus naar de generieke laag.</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 PSA-toetsing en samenhangtoets: twee verschillende gesprekken</w:t>
      </w:r>
    </w:p>
    <w:p>
      <w:pPr>
        <w:spacing w:after="160" w:line="300"/>
        <w:jc w:val="left"/>
      </w:pPr>
      <w:r>
        <w:rPr>
          <w:rFonts w:ascii="Calibri" w:cs="Calibri" w:eastAsia="Calibri" w:hAnsi="Calibri"/>
          <w:b w:val="false"/>
          <w:bCs w:val="false"/>
          <w:i w:val="false"/>
          <w:iCs w:val="false"/>
          <w:color w:val="1A1A1A"/>
          <w:sz w:val="21"/>
          <w:szCs w:val="21"/>
        </w:rPr>
        <w:t xml:space="preserve">De samenhangtoets (deel 11, §5.2) kijkt tussen projecten: raakt project X aan de aannames van project Y? PSA-toetsing kijkt bínnen één project: bouwt dit team nog volgens zijn eigen PSA? Beide zijn nodig, en ze mogen niet worden samengevoegd — hetzelfde onderscheid als stuurgroep versus gremium (niveau 1, deel 9, §7.2), nu toegepast op het architectuurtoezicht zelf. Een team dat alleen op samenhang wordt getoetst en nooit op zijn eigen PSA, kan onopgemerkt van zijn eigen kaders afdrijven; een programma dat alleen op PSA's toetst en nooit op samenhang, mist precies het B9-risico dat het hele niveau 1 probeerde te voorkomen.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8.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PSA brengt drie horizonnen (enterprise, programma, project) voor één project samen en scheidt bindend van vrij.</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Inhoud: bindende kaders, projectspecifieke requirements, ontwerpruimte, raakvlakken, toetsmomenten — niet meer, niet minder dan het verschil tussen "overal" en "hier".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Elke PSA-requirement moet traceerbaar zijn naar een hoger doel — ongetraceerde requirements zijn verdacht.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PSA is een levend document met een lichte wijzigingsprocedure; scope creep wordt via Requirements Management afgehandeld, met de vraag "generiek of specifiek" als scharnier.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PSA-toetsing (binnen het project) en samenhangtoets (tussen projecten) zijn twee aparte, beide noodzakelijke gesprekken.</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PSA (Project Start Architecture)</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document dat enterprise-, programma- en projectkaders voor één project samenbrengt</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Bindende kaders</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wat van boven overgenomen moet worden, niet ter discussie op projectniveau</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Ontwerpruimte</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wat het projectteam zelf mag beslissen</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PSA-toetsing</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toetsmoment binnen één project, tegen de eigen PSA</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TOGAF® Standard, 10th Edition</w:t>
      </w:r>
      <w:r>
        <w:rPr>
          <w:rFonts w:ascii="Calibri" w:cs="Calibri" w:eastAsia="Calibri" w:hAnsi="Calibri"/>
          <w:b w:val="false"/>
          <w:bCs w:val="false"/>
          <w:i w:val="false"/>
          <w:iCs w:val="false"/>
          <w:color w:val="1A1A1A"/>
          <w:sz w:val="21"/>
          <w:szCs w:val="21"/>
        </w:rPr>
        <w:t xml:space="preserve"> — Project Start Architecture en de relatie tot Architecture Contracts</w:t>
      </w:r>
    </w:p>
    <w:p>
      <w:pPr>
        <w:spacing w:before="300"/>
      </w:pPr>
      <w:r>
        <w:rPr>
          <w:rFonts w:ascii="Calibri" w:cs="Calibri" w:eastAsia="Calibri" w:hAnsi="Calibri"/>
          <w:i/>
          <w:iCs/>
          <w:color w:val="6B7280"/>
          <w:sz w:val="20"/>
          <w:szCs w:val="20"/>
        </w:rPr>
        <w:t xml:space="preserve">Volgende deel: data- en integratiearchitectuur — bewust gedupliceerd met de API-cursus in deze familie, zodat elke cursus zelfstandig blijft.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15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2026-08-17T14:47:47.224Z</dcterms:created>
  <dcterms:modified xsi:type="dcterms:W3CDTF">2026-08-17T14:47:47.225Z</dcterms:modified>
</cp:coreProperties>
</file>

<file path=docProps/custom.xml><?xml version="1.0" encoding="utf-8"?>
<Properties xmlns="http://schemas.openxmlformats.org/officeDocument/2006/custom-properties" xmlns:vt="http://schemas.openxmlformats.org/officeDocument/2006/docPropsVTypes"/>
</file>