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16</w:t>
      </w:r>
    </w:p>
    <w:p>
      <w:pPr>
        <w:spacing w:after="300"/>
      </w:pPr>
      <w:r>
        <w:rPr>
          <w:rFonts w:ascii="Calibri" w:cs="Calibri" w:eastAsia="Calibri" w:hAnsi="Calibri"/>
          <w:b/>
          <w:bCs/>
          <w:color w:val="14213D"/>
          <w:sz w:val="34"/>
          <w:szCs w:val="34"/>
        </w:rPr>
        <w:t xml:space="preserve">Werkboek — Data- en integratiearchitectuur</w:t>
      </w:r>
    </w:p>
    <w:p>
      <w:pPr>
        <w:spacing w:after="160" w:line="300"/>
        <w:jc w:val="left"/>
      </w:pPr>
      <w:r>
        <w:rPr>
          <w:rFonts w:ascii="Calibri" w:cs="Calibri" w:eastAsia="Calibri" w:hAnsi="Calibri"/>
          <w:b w:val="false"/>
          <w:bCs w:val="false"/>
          <w:i w:val="false"/>
          <w:iCs w:val="false"/>
          <w:color w:val="1A1A1A"/>
          <w:sz w:val="21"/>
          <w:szCs w:val="21"/>
        </w:rPr>
        <w:t xml:space="preserve">Elke opdracht sluit af met een verantwoordingsvraag. Benodigd: reader deel 16, uw programmadossier.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PSA + wijzigingslog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uit. Schriftelijk: </w:t>
      </w:r>
      <w:r>
        <w:rPr>
          <w:rFonts w:ascii="Calibri" w:cs="Calibri" w:eastAsia="Calibri" w:hAnsi="Calibri"/>
          <w:b/>
          <w:bCs/>
          <w:i w:val="false"/>
          <w:iCs w:val="false"/>
          <w:color w:val="1A1A1A"/>
          <w:sz w:val="21"/>
          <w:szCs w:val="21"/>
        </w:rPr>
        <w:t xml:space="preserve">"Bevat deze PSA precies het verschil tussen overal-geldig en hier-geldig, of herhaalt hij het generieke contract?"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Het gedeelde datamodel (30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Modelleer de generieke kern (Mutatieverzoek, Autorisatiebeslissing) en werk twee domeinspecifieke uitbreidingen uit (Dienstverbandwijziging, Begunstigdewijziging), inclusief hun relatie naar de generieke kern.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Markeer welke velden/attributen generiek zijn (voor alle mutatietypen gelijk) en welke domeinspecifiek.</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is het generieke Mutatieverzoek géén nieuwe bronregistratie voor bijvoorbeeld dienstverbandgegevens? Verwijs naar de bronregelspelregels uit niveau 1, deel 5.</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Orkestratie versus choreografie (25 min, tweetallen)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Beschrijf hoe orkestratie werkt voor een dienstverbandmutatie: welke stappen roept de generieke laag aan, in welke volgorde.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Beschrijf hoe hetzelfde scenario er in choreografie zou uitzien.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een ontwikkelaar stelt voor choreografie te gebruiken "want dat is losser gekoppeld en dus beter". Weerleg met het WGP 2.0-argument uit de reader.</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Data-eigenaarschap bij een gedeelde entiteit (25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Bepaal het eigenaarschap van het generieke Mutatieverzoek-model volgens de reader (§4).</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Simuleer een wijzigingsvraag: Begunstigden wil een extra generiek statusveld ("wacht op tweede autorisator") toevoegen aan Mutatieverzoek. Wie beslist, wie wordt geraadpleegd?</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is vijfkoppig eigenaarschap (elk domein evenveel zeggenschap) hier geen goede oplossing?</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Huiswerk: datamodel + integratiearchitectuur als programmadossier-hoofdstuk (schriftelijk, inleveren vóór deel 17)</w:t>
      </w:r>
    </w:p>
    <w:p>
      <w:pPr>
        <w:spacing w:after="160" w:line="300"/>
        <w:jc w:val="left"/>
      </w:pPr>
      <w:r>
        <w:rPr>
          <w:rFonts w:ascii="Calibri" w:cs="Calibri" w:eastAsia="Calibri" w:hAnsi="Calibri"/>
          <w:b w:val="false"/>
          <w:bCs w:val="false"/>
          <w:i w:val="false"/>
          <w:iCs w:val="false"/>
          <w:color w:val="1A1A1A"/>
          <w:sz w:val="21"/>
          <w:szCs w:val="21"/>
        </w:rPr>
        <w:t xml:space="preserve">Voeg toe: het gedeelde datamodel (opdracht 1), de orkestratiekeuze met motivatie (opdracht 2), en het eigenaarschapsbesluit (opdracht 3) — max. twee A4. Deel 17 opent met peer feedback.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a-b. Mutatieverzoek (generiek): id, type, indiener, statusveld, ontvangstdatum. Autorisatiebeslissing (generiek): beslisser, tijdstip, uitkomst, autorisatieniveau (het geparametriseerde niveau uit deel 11). Dienstverbandwijziging (specifiek): peildatum, oude aanlevereenheid, nieuwe aanlevereenheid, opvolgingsrelatie (niveau 1, deel 5). Begunstigdewijziging (specifiek): oude begunstigde, nieuwe begunstigde, tweede autorisator.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Het generieke model registreert de </w:t>
      </w:r>
      <w:r>
        <w:rPr>
          <w:rFonts w:ascii="Calibri" w:cs="Calibri" w:eastAsia="Calibri" w:hAnsi="Calibri"/>
          <w:b w:val="false"/>
          <w:bCs w:val="false"/>
          <w:i/>
          <w:iCs/>
          <w:color w:val="1A1A1A"/>
          <w:sz w:val="21"/>
          <w:szCs w:val="21"/>
        </w:rPr>
        <w:t xml:space="preserve">status van de verwerking</w:t>
      </w:r>
      <w:r>
        <w:rPr>
          <w:rFonts w:ascii="Calibri" w:cs="Calibri" w:eastAsia="Calibri" w:hAnsi="Calibri"/>
          <w:b w:val="false"/>
          <w:bCs w:val="false"/>
          <w:i w:val="false"/>
          <w:iCs w:val="false"/>
          <w:color w:val="1A1A1A"/>
          <w:sz w:val="21"/>
          <w:szCs w:val="21"/>
        </w:rPr>
        <w:t xml:space="preserve"> (is deze mutatie aangevraagd, geautoriseerd, doorgevoerd), niet de </w:t>
      </w:r>
      <w:r>
        <w:rPr>
          <w:rFonts w:ascii="Calibri" w:cs="Calibri" w:eastAsia="Calibri" w:hAnsi="Calibri"/>
          <w:b w:val="false"/>
          <w:bCs w:val="false"/>
          <w:i/>
          <w:iCs/>
          <w:color w:val="1A1A1A"/>
          <w:sz w:val="21"/>
          <w:szCs w:val="21"/>
        </w:rPr>
        <w:t xml:space="preserve">inhoud</w:t>
      </w:r>
      <w:r>
        <w:rPr>
          <w:rFonts w:ascii="Calibri" w:cs="Calibri" w:eastAsia="Calibri" w:hAnsi="Calibri"/>
          <w:b w:val="false"/>
          <w:bCs w:val="false"/>
          <w:i w:val="false"/>
          <w:iCs w:val="false"/>
          <w:color w:val="1A1A1A"/>
          <w:sz w:val="21"/>
          <w:szCs w:val="21"/>
        </w:rPr>
        <w:t xml:space="preserve"> van bijvoorbeeld het dienstverband zelf — die inhoud blijft in het deelnemersysteem, dat bron blijft conform niveau 1, deel 5, §4 (de bron volgt het ontstaan; dienstverbanden ontstaan niet in een generiek coördinatiesysteem).</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Orkestratie: generieke laag ontvangt verzoek → roept autorisatieservice aan → bij goedkeuring roept zij de deelnemersysteem-service "dienstverband wijzigen" aan → ontvangt bevestiging → werkt eigen status bij → stuurt signaal naar het premiesysteem (24-uurs-regel, niveau 1 deel 5) → sluit af.</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Choreografie: het deelnemersysteem publiceert zelf een gebeurtenis "dienstverband gewijzigd" zodra iemand daar direct een wijziging doorvoert; het premiesysteem "luistert" en reageert zelfstandig. Geen centraal punt dat de volledige mutatie als geheel volgt.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Weerlegging: losse koppeling is een deugd wanneer onafhankelijke, elkaar niet kennende consumenten flexibel moeten kunnen reageren — maar hier is het punt van de generieke laag juist gecentraliseerde coördinatie en overzicht (zodat de status van een mutatie op elk moment navolgbaar is, en fouten niet pas bij "de integratietest" — B7's mechanisme — zichtbaar worden). Choreografie zonder centrale status-tracking zou vijf systemen onafhankelijk laten reageren op dezelfde mutatie, met precies het risico dat niemand meer het complete beeld heeft — de WGP 2.0-fout in nieuwe vorm.</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Architectuurfunctie namens het gremium, met de vijf domeinarchitecten als adviserende partijen.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De architectuurfunctie beoordeelt of het statusveld generiek genoeg is om voor alle domeinen te gelden (waarschijnlijk ja — "wacht op tweede autorisator" is een herbruikbare status, geen Begunstigden-specifiek gegeven); zij raadpleegt de andere vier domeinarchitecten (raakt dit hun ontwerp?) en beslist, met eventuele escalatie naar het gremium bij onenigheid.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Vijfkoppig eigenaarschap zou elke wijziging aan de generieke laag afhankelijk maken van consensus tussen vijf partijen met deels uiteenlopende belangen — precies het besluitvormingsprobleem dat het architectuurgremium (niveau 1, deel 9) juist moest voorkomen door mandaat en kennis te combineren in een werkbare, kleine groep in plaats van iedereen evenveel stem te geven.</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Beoordelingskader opdracht 4 (peer feedback in deel 17)</w:t>
      </w:r>
    </w:p>
    <w:p>
      <w:pPr>
        <w:spacing w:after="160" w:line="300"/>
        <w:jc w:val="left"/>
      </w:pPr>
      <w:r>
        <w:rPr>
          <w:rFonts w:ascii="Calibri" w:cs="Calibri" w:eastAsia="Calibri" w:hAnsi="Calibri"/>
          <w:b w:val="false"/>
          <w:bCs w:val="false"/>
          <w:i w:val="false"/>
          <w:iCs w:val="false"/>
          <w:color w:val="1A1A1A"/>
          <w:sz w:val="21"/>
          <w:szCs w:val="21"/>
        </w:rPr>
        <w:t xml:space="preserve">Sterk: het datamodel toont expliciet welke velden generiek/specifiek zijn; de orkestratiekeuze is beargumenteerd tegen choreografie, niet alleen beschreven. Zwak: een datamodel dat feitelijk een nieuwe bronregistratie voorstelt zonder dat te beseffen.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16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2026-08-17T14:47:48.108Z</dcterms:created>
  <dcterms:modified xsi:type="dcterms:W3CDTF">2026-08-17T14:47:48.109Z</dcterms:modified>
</cp:coreProperties>
</file>

<file path=docProps/custom.xml><?xml version="1.0" encoding="utf-8"?>
<Properties xmlns="http://schemas.openxmlformats.org/officeDocument/2006/custom-properties" xmlns:vt="http://schemas.openxmlformats.org/officeDocument/2006/docPropsVTypes"/>
</file>