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2563A8"/>
          <w:sz w:val="20"/>
          <w:szCs w:val="20"/>
        </w:rPr>
        <w:t xml:space="preserve">BUSINESS &amp; ENTERPRISE ARCHITECTUUR</w:t>
      </w:r>
    </w:p>
    <w:p>
      <w:pPr>
        <w:spacing w:after="4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Niveau 2 — Deel 17</w:t>
      </w:r>
    </w:p>
    <w:p>
      <w:pPr>
        <w:spacing w:after="300"/>
      </w:pPr>
      <w:r>
        <w:rPr>
          <w:rFonts w:ascii="Calibri" w:cs="Calibri" w:eastAsia="Calibri" w:hAnsi="Calibri"/>
          <w:b/>
          <w:bCs/>
          <w:color w:val="14213D"/>
          <w:sz w:val="32"/>
          <w:szCs w:val="32"/>
        </w:rPr>
        <w:t xml:space="preserve">Docentenhandleiding — Gap-analyse, roadmapping en migratieplanning</w:t>
      </w:r>
    </w:p>
    <w:tbl>
      <w:tblPr>
        <w:tblW w:type="pct" w:w="100%"/>
        <w:tblBorders>
          <w:top w:val="single" w:color="E9A13B" w:sz="4"/>
          <w:left w:val="single" w:color="E9A13B" w:sz="24"/>
          <w:bottom w:val="single" w:color="E9A13B" w:sz="4"/>
          <w:right w:val="single" w:color="E9A13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1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line="29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4213D"/>
                <w:sz w:val="20"/>
                <w:szCs w:val="20"/>
              </w:rPr>
              <w:t xml:space="preserve">Duur: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één dagdeel (4 uur incl. pauze)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14213D"/>
                <w:sz w:val="20"/>
                <w:szCs w:val="20"/>
              </w:rPr>
              <w:t xml:space="preserve">Groepsgrootte: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8-16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14213D"/>
                <w:sz w:val="20"/>
                <w:szCs w:val="20"/>
              </w:rPr>
              <w:t xml:space="preserve">Voorkennis: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niveau 1 deel 9, niveau 2 deel 11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14213D"/>
                <w:sz w:val="20"/>
                <w:szCs w:val="20"/>
              </w:rPr>
              <w:t xml:space="preserve">Materiaal: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reader/werkboek/slidedeck deel 17, flip-overs voor matrices en roadmap-tijdlijnen</w:t>
            </w:r>
          </w:p>
        </w:tc>
      </w:tr>
    </w:tbl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Plaats van dit deel in het niveau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Dit deel formaliseert fase E-F op portfolioniveau: waar niveau 1 (deel 9) de basisbegrippen gaf, geeft dit deel de matrix- en roadmaptechniek die het examen op Practitioner-niveau verwacht. Het is rekenkundiger van aard dan de meeste andere delen (schattingen, doorlooptijden) — behoud toch de architectuurredenering als hoofdzaak: de matrix en de roadmap zijn gereedschap voor besluitvorming, geen doel op zich.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Dagdeelplanning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Tijd</w:t>
            </w:r>
          </w:p>
        </w:tc>
        <w:tc>
          <w:tcPr>
            <w:tcW w:type="dxa" w:w="3000"/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Onderdeel</w:t>
            </w:r>
          </w:p>
        </w:tc>
        <w:tc>
          <w:tcPr>
            <w:tcW w:type="dxa" w:w="3000"/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Werkvorm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0:00–0:10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Opdracht 0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tweetallen</w:t>
            </w:r>
          </w:p>
        </w:tc>
      </w:tr>
      <w:tr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0:10–0:20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Casus: vier domeinen, één roadmap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plenair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0:20–0:45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Theorie: de gap-analysematrix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plenair</w:t>
            </w:r>
          </w:p>
        </w:tc>
      </w:tr>
      <w:tr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0:45–1:20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Opdracht 1 — matrix per domein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viertallen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1:20–1:35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Pauze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1:35–1:55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Theorie: roadmap en leercurve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plenair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1:55–2:30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Opdracht 2 — de roadmap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viertallen</w:t>
            </w:r>
          </w:p>
        </w:tc>
      </w:tr>
      <w:tr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2:30–2:45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Theorie: het uitloopscenario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plenair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2:45–3:10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Opdracht 3 — het uitloopscenario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drietallen</w:t>
            </w:r>
          </w:p>
        </w:tc>
      </w:tr>
      <w:tr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3:10–3:50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Verwerkingstijd huiswerk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individueel, begeleid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3:50–4:00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Samenvatting + vooruitblik deel 18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plenair</w:t>
            </w:r>
          </w:p>
        </w:tc>
      </w:tr>
    </w:tbl>
    <w:p>
      <w:pPr>
        <w:spacing w:before="200"/>
      </w:pPr>
    </w:p>
    <w:p>
      <w:r>
        <w:br w:type="page"/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Didactische aanwijzingen per onderdeel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Opdracht 1.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Verdeel de vier domeinen bewust over de viertallen zodat aan het eind alle vier gedekt zijn — bij de nabespreking kan dan de volledige vergelijking gemaakt worden.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Opdracht 1c.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Dit is de kernvraag: laat de groep expliciet benoemen dat de matrix omvang toont, geen afhankelijkheid of capaciteit — dat onderscheid draagt opdracht 2.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Opdracht 2c.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Bewaak dat "hard" en "zacht" concreet beargumenteerd worden, niet intuïtief geraden — vraag door: "wat zou er misgaan als u deze afhankelijkheid negeert?"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Opdracht 3b.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Het luie-antwoord-argument moet uit de groep komen; het is de meest voorkomende reflex bij tegenvallende planning ("alles een blok schuiven") en de nabespreking moet laten zien waarom die reflex kansen laat liggen.</w:t>
      </w:r>
    </w:p>
    <w:p>
      <w:r>
        <w:br w:type="page"/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Veelgestelde vragen en gevoeligheden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"Hoe nauwkeurig moeten de weekschattingen zijn?"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Niet nauwkeuriger dan de matrix rechtvaardigt: dit is portfolioplanning, geen sprintplanning. Orde-van-grootte-schattingen (acht versus vijftien weken) zijn het doel, geen exacte dagtelling.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Voorbereiding volgende bijeenkomst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Roadmaps vooraf laten inleveren. Deel 18 (architectuurpatronen) geeft herbruikbare oplossingsvormen die de bouw van de resterende vier domeinen kunnen versnellen — een directe vervolgstap op de roadmap van vandaag.</w:t>
      </w:r>
    </w:p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5"/>
        <w:szCs w:val="15"/>
      </w:rPr>
      <w:t xml:space="preserve">Business &amp; Enterprise Architectuur — </w:t>
    </w:r>
    <w:r>
      <w:rPr>
        <w:rFonts w:ascii="Calibri" w:cs="Calibri" w:eastAsia="Calibri" w:hAnsi="Calibri"/>
        <w:color w:val="6B7280"/>
        <w:sz w:val="15"/>
        <w:szCs w:val="15"/>
      </w:rPr>
      <w:t xml:space="preserve">pagina </w:t>
    </w:r>
    <w:r>
      <w:rPr>
        <w:rFonts w:ascii="Calibri" w:cs="Calibri" w:eastAsia="Calibri" w:hAnsi="Calibri"/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7280"/>
        <w:sz w:val="16"/>
        <w:szCs w:val="16"/>
      </w:rPr>
      <w:t xml:space="preserve">Deel 17 · Docentenhandleiding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2026-08-17T14:47:48.907Z</dcterms:created>
  <dcterms:modified xsi:type="dcterms:W3CDTF">2026-08-17T14:47:48.908Z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