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2 — Deel 17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40"/>
          <w:szCs w:val="40"/>
        </w:rPr>
        <w:t xml:space="preserve">Gap-analyse, roadmapping en migratieplanning</w:t>
      </w:r>
    </w:p>
    <w:tbl>
      <w:tblPr>
        <w:tblW w:type="pct" w:w="100%"/>
        <w:tblBorders>
          <w:top w:val="single" w:color="2563A8" w:sz="4"/>
          <w:left w:val="single" w:color="2563A8" w:sz="24"/>
          <w:bottom w:val="single" w:color="2563A8" w:sz="4"/>
          <w:right w:val="single" w:color="2563A8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A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7"/>
                <w:szCs w:val="17"/>
              </w:rPr>
              <w:t xml:space="preserve">POSITIONERING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>Dit deel verdiept fase E-F (niveau 1, deel 9) naar programmaschaal: hoe worden de resterende vier mutatiedomeinen na de pilot (Dienstverbandmutaties) gepland? Examenstof Practitioner: formele gap-analysetechnieken en roadmapping op portfolioniveau.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Leerdoelen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 dit deel kun je: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formele gap-analysematrix opstellen tussen baseline en target, met de standaardcategorieën (eliminated, unchanged, changed, new);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programmaroadmap ontwerpen die meerdere werkpakketten over meerdere domeinen in de tijd uitzet, met afhankelijkheden;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leercurve uit de pilot (deel 11, §6) kwantificeren en gebruiken om de roadmap voor de resterende domeinen te onderbouwen;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risico's op roadmapniveau identificeren en mitigeren, inclusief het scenario waarin de pilot vertraging oploopt.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1. Casus: vier domeinen, één roadmap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Dienstverbandmutaties (de pilot) nadert livegang. De stuurgroep vraagt nu naar de roadmap voor de resterende vier domeinen: Adreswijzigingen, Begunstigden, Betalingsmutaties, Waardeoverdrachten. Niveau 1 (deel 9) gaf het instrumentarium voor één dossier; vandaag schaalt u dat naar vier domeinen tegelijk, elk met eigen risico's, afhankelijkheden en volgorde-overwegingen.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2. De formele gap-analysematrix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Niveau 1 (deel 2, deel 9) sprak over baseline, target en gap in tekstvorm. De formele techniek werkt met een matrix waarin elk architectuurelement (capability, applicatie, proces) in vier categorieën valt: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Categorie</w:t>
            </w:r>
          </w:p>
        </w:tc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Betekenis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Eliminated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bestaat in baseline, niet in target (bijvoorbeeld: het oude begunstigdenregister als losstaand systeem)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Unchanged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bestaat in beide, ongewijzigd (bijvoorbeeld: het CRM als bron voor adresgegevens)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Changed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bestaat in beide, maar gewijzigd (bijvoorbeeld: het premiesysteem, dat een nieuwe koppeling krijgt)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New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bestaat alleen in target (bijvoorbeeld: de generieke autorisatieservice)</w:t>
            </w:r>
          </w:p>
        </w:tc>
      </w:tr>
    </w:tbl>
    <w:p>
      <w:pPr>
        <w:spacing w:before="200"/>
      </w:pP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Voor elk van de vier resterende domeinen levert deze matrix een directe inschatting van de omvang van de verandering: veel "new" en "eliminated" betekent een groter, risicovoller werkpakket; veel "unchanged" betekent een lichter traject. Begunstigden (geen bestaande autorisatiematrix, dus veel "new") is zwaarder dan Adreswijzigingen (grotendeels "unchanged", met alleen de koppeling aan de generieke laag als "changed").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3. De roadmap: leercurve gekwantificeerd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Deel 11 (§6) introduceerde de leercurve kwalitatief: elke volgende ronde wordt goedkoper. Voor de roadmap kwantificeert u dat: de pilot (Dienstverbandmutaties) kostte, zeg, twintig weken. De gap-analysematrix van elk resterend domein, vergeleken met die van de pilot, geeft een onderbouwde schatting: Adreswijzigingen (lichter dan de pilot) misschien acht weken, Begunstigden (met een nieuwe autorisatiematrix, deels vergelijkbaar zwaar) vijftien weken, enzovoort.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Waarschuwing tegen overmoed.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De leercurve is reëel maar niet onbeperkt: de generieke laag is bewezen, maar elk domein introduceert ook eigen risico's die de pilot niet tegenkwam (Waardeoverdrachten heeft externe partijen — andere pensioenuitvoerders — die de pilot niet had). Een roadmap die alle vier domeinen even snel plant "omdat de eerste ook sneller ging dan verwacht" doet zichzelf tekort.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4. Afhankelijkheden en volgorde op de roadmap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Naast de leercurve bepalen twee andere factoren de volgorde: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afhankelijkheden tussen domeinen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(het generieke statusveld dat in deel 16, opdracht 3 werd besproken, moet er zijn vóórdat Begunstigden kan starten) en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capaciteit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(er zijn niet oneindig veel architecten en ontwikkelaars — parallel plannen van alle vier is zelden realistisch). De roadmap zet deze factoren in een tijdlijn met expliciete afhankelijkheidspijlen — vergelijkbaar met het plateau-diagram uit deel 13, nu met vier parallelle of licht verschoven trajecten in plaats van drie sequentiële fasen.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5. Risico op roadmapniveau: als de pilot uitloopt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roadmap die uitgaat van de pilot-planning zonder een uitloopscenario, is kwetsbaar. Het architectuuradvies bevat daarom altijd een expliciet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wat-als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: loopt Dienstverbandmutaties twee maanden uit, dan schuift de hele roadmap niet automatisch twee maanden — sommige voorbereidende werkzaamheden voor Adreswijzigingen (die weinig van de pilot afhankelijk is) kunnen al starten, terwijl Begunstigden (sterk afhankelijk van generieke lessen) wél moet wachten. Dit onderscheid — welke afhankelijkheden hard zijn en welke niet — is precies het soort analyse dat een roadmap onderscheidt van een simpele Gantt-balk.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6. Samenvatting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formele gap-analysematrix (eliminated/unchanged/changed/new) geeft per domein een directe inschatting van de veranderomvang.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 roadmap kwantificeert de leercurve uit de pilot, met waakzaamheid tegen overmoed: elk domein heeft ook eigen, niet-overdraagbare risico's.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Afhankelijkheden en capaciteit bepalen de volgorde naast de leercurve; de roadmap toont expliciete afhankelijkheidspijlen tussen domeinen.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Een goede roadmap bevat een uitloopscenario dat onderscheidt welke afhankelijkheden hard zijn en welke niet.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Begrippenlijst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Begrip</w:t>
            </w:r>
          </w:p>
        </w:tc>
        <w:tc>
          <w:tcPr>
            <w:tcW w:type="dxa" w:w="45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Omschrijving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Gap-analysematrix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eliminated/unchanged/changed/new per architectuurelement</w:t>
            </w:r>
          </w:p>
        </w:tc>
      </w:tr>
      <w:tr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Roadmap</w:t>
            </w:r>
          </w:p>
        </w:tc>
        <w:tc>
          <w:tcPr>
            <w:tcW w:type="dxa" w:w="45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werkpakketten over meerdere domeinen in de tijd, met afhankelijkheden</w:t>
            </w:r>
          </w:p>
        </w:tc>
      </w:tr>
      <w:tr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Harde/zachte afhankelijkheid</w:t>
            </w:r>
          </w:p>
        </w:tc>
        <w:tc>
          <w:tcPr>
            <w:tcW w:type="dxa" w:w="45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wel/niet strikt vereist vóór een volgend werkpakket kan starten</w:t>
            </w:r>
          </w:p>
        </w:tc>
      </w:tr>
    </w:tbl>
    <w:p>
      <w:pPr>
        <w:spacing w:before="200"/>
      </w:pP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Verder lezen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The Open Group, </w:t>
      </w: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TOGAF® Standard, 10th Edition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Gap Analysis techniques, Phase E-F (examenstof Practitioner)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Volgende deel: architectuurpatronen en referentiearchitecturen — herbruikbare oplossingsvormen voor de resterende vier domeinen.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17 · Reader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2026-08-17T14:47:48.590Z</dcterms:created>
  <dcterms:modified xsi:type="dcterms:W3CDTF">2026-08-17T14:47:48.591Z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