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17</w:t>
      </w:r>
    </w:p>
    <w:p>
      <w:pPr>
        <w:spacing w:after="300"/>
      </w:pPr>
      <w:r>
        <w:rPr>
          <w:rFonts w:ascii="Calibri" w:cs="Calibri" w:eastAsia="Calibri" w:hAnsi="Calibri"/>
          <w:b/>
          <w:bCs/>
          <w:color w:val="14213D"/>
          <w:sz w:val="34"/>
          <w:szCs w:val="34"/>
        </w:rPr>
        <w:t xml:space="preserve">Werkboek — Gap-analyse, roadmapping en migratieplanning</w:t>
      </w:r>
    </w:p>
    <w:p>
      <w:pPr>
        <w:spacing w:after="160" w:line="300"/>
        <w:jc w:val="left"/>
      </w:pPr>
      <w:r>
        <w:rPr>
          <w:rFonts w:ascii="Calibri" w:cs="Calibri" w:eastAsia="Calibri" w:hAnsi="Calibri"/>
          <w:b w:val="false"/>
          <w:bCs w:val="false"/>
          <w:i w:val="false"/>
          <w:iCs w:val="false"/>
          <w:color w:val="1A1A1A"/>
          <w:sz w:val="21"/>
          <w:szCs w:val="21"/>
        </w:rPr>
        <w:t xml:space="preserve">Elke opdracht sluit af met een verantwoordingsvraag. Benodigd: reader deel 17, uw programmadossier, deel 11 bijlage A.</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datamodel + integratie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uit. Schriftelijk: </w:t>
      </w:r>
      <w:r>
        <w:rPr>
          <w:rFonts w:ascii="Calibri" w:cs="Calibri" w:eastAsia="Calibri" w:hAnsi="Calibri"/>
          <w:b/>
          <w:bCs/>
          <w:i w:val="false"/>
          <w:iCs w:val="false"/>
          <w:color w:val="1A1A1A"/>
          <w:sz w:val="21"/>
          <w:szCs w:val="21"/>
        </w:rPr>
        <w:t xml:space="preserve">"Is de orkestratiekeuze beargumenteerd tegen choreografie, of alleen beschreven?"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Gap-analysematrix per domein (35 min, viertallen)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Bouw de gap-analysematrix voor twee resterende domeinen (kies twee van: Adreswijzigingen, Begunstigden, Betalingsmutaties, Waardeoverdrachten) met minimaal vijf elementen per domein, gecategoriseerd eliminated/unchanged/changed/new.</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Vergelijk de twee matrices: welk domein is zwaarder, en waarom?</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een collega stelt voor alle vier domeinen tegelijk te plannen "want de matrices zijn toch al gemaakt". Wat mist dat argument?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De roadmap (35 min, viertallen)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Schat op basis van uw matrices (opdracht 1) en de pilot-referentie (twintig weken) de doorlooptijd voor uw twee domeinen.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Teken de roadmap: volgorde, afhankelijkheden, eventuele parallelliteit — met expliciete pijlen voor harde afhankelijkheden.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welke afhankelijkheid in uw roadmap is hard, en welke zou u bij capaciteitsdruk kunnen versoepelen?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Het uitloopscenario (25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Stel dat de pilot (Dienstverbandmutaties) twee maanden uitloopt. Pas uw roadmap (opdracht 2) aan: wat schuift automatisch mee, wat niet?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is "de hele roadmap schuift twee maanden" het luie, foute antwoord?</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Huiswerk: roadmap als programmadossier-hoofdstuk (schriftelijk, inleveren vóór deel 18)</w:t>
      </w:r>
    </w:p>
    <w:p>
      <w:pPr>
        <w:spacing w:after="160" w:line="300"/>
        <w:jc w:val="left"/>
      </w:pPr>
      <w:r>
        <w:rPr>
          <w:rFonts w:ascii="Calibri" w:cs="Calibri" w:eastAsia="Calibri" w:hAnsi="Calibri"/>
          <w:b w:val="false"/>
          <w:bCs w:val="false"/>
          <w:i w:val="false"/>
          <w:iCs w:val="false"/>
          <w:color w:val="1A1A1A"/>
          <w:sz w:val="21"/>
          <w:szCs w:val="21"/>
        </w:rPr>
        <w:t xml:space="preserve">Voeg toe: de gap-analysematrices, de roadmap met afhankelijkheden, en het uitloopscenario (max. twee A4). Deel 18 opent met peer feedback.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a-b. Modelvoorbeeld Adreswijzigingen: CRM (unchanged), adresvalidatieregel (changed — nu via generieke autorisatie), koppeling generieke laag (new), oude standalone adreswijzigingsformulier (eliminated). Begunstigden: CRM-contactgegevens (unchanged), autorisatiematrix (new — bestond niet), tweeogen-proces (new), oud ad-hoc-Excel-proces (eliminated), koppeling generieke laag (new). Begunstigden is zwaarder: meer "new"-elementen, minder hergebruik van bestaande structuur.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De matrices tonen de </w:t>
      </w:r>
      <w:r>
        <w:rPr>
          <w:rFonts w:ascii="Calibri" w:cs="Calibri" w:eastAsia="Calibri" w:hAnsi="Calibri"/>
          <w:b w:val="false"/>
          <w:bCs w:val="false"/>
          <w:i/>
          <w:iCs/>
          <w:color w:val="1A1A1A"/>
          <w:sz w:val="21"/>
          <w:szCs w:val="21"/>
        </w:rPr>
        <w:t xml:space="preserve">omvang</w:t>
      </w:r>
      <w:r>
        <w:rPr>
          <w:rFonts w:ascii="Calibri" w:cs="Calibri" w:eastAsia="Calibri" w:hAnsi="Calibri"/>
          <w:b w:val="false"/>
          <w:bCs w:val="false"/>
          <w:i w:val="false"/>
          <w:iCs w:val="false"/>
          <w:color w:val="1A1A1A"/>
          <w:sz w:val="21"/>
          <w:szCs w:val="21"/>
        </w:rPr>
        <w:t xml:space="preserve"> van verandering per domein, niet de </w:t>
      </w:r>
      <w:r>
        <w:rPr>
          <w:rFonts w:ascii="Calibri" w:cs="Calibri" w:eastAsia="Calibri" w:hAnsi="Calibri"/>
          <w:b w:val="false"/>
          <w:bCs w:val="false"/>
          <w:i/>
          <w:iCs/>
          <w:color w:val="1A1A1A"/>
          <w:sz w:val="21"/>
          <w:szCs w:val="21"/>
        </w:rPr>
        <w:t xml:space="preserve">capaciteit</w:t>
      </w:r>
      <w:r>
        <w:rPr>
          <w:rFonts w:ascii="Calibri" w:cs="Calibri" w:eastAsia="Calibri" w:hAnsi="Calibri"/>
          <w:b w:val="false"/>
          <w:bCs w:val="false"/>
          <w:i w:val="false"/>
          <w:iCs w:val="false"/>
          <w:color w:val="1A1A1A"/>
          <w:sz w:val="21"/>
          <w:szCs w:val="21"/>
        </w:rPr>
        <w:t xml:space="preserve"> om ze gelijktijdig te bouwen, niet de </w:t>
      </w:r>
      <w:r>
        <w:rPr>
          <w:rFonts w:ascii="Calibri" w:cs="Calibri" w:eastAsia="Calibri" w:hAnsi="Calibri"/>
          <w:b w:val="false"/>
          <w:bCs w:val="false"/>
          <w:i/>
          <w:iCs/>
          <w:color w:val="1A1A1A"/>
          <w:sz w:val="21"/>
          <w:szCs w:val="21"/>
        </w:rPr>
        <w:t xml:space="preserve">afhankelijkheden</w:t>
      </w:r>
      <w:r>
        <w:rPr>
          <w:rFonts w:ascii="Calibri" w:cs="Calibri" w:eastAsia="Calibri" w:hAnsi="Calibri"/>
          <w:b w:val="false"/>
          <w:bCs w:val="false"/>
          <w:i w:val="false"/>
          <w:iCs w:val="false"/>
          <w:color w:val="1A1A1A"/>
          <w:sz w:val="21"/>
          <w:szCs w:val="21"/>
        </w:rPr>
        <w:t xml:space="preserve"> tussen domeinen (bijvoorbeeld gedeelde generieke velden), en niet het risico van gelijktijdig meerdere teams die tegen de nog relatief nieuwe generieke laag aan bouwen zonder dat de samenhangtoets (deel 11) is opgeschaald naar vier tegelijk in plaats van één.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Modelschatting: Adreswijzigingen circa acht weken (grotendeels unchanged/changed), Begunstigden circa vijftien weken (veel new, nieuw proces vanaf de grond).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Adreswijzigingen kan grotendeels parallel aan de afronding van de pilot starten (weinig afhankelijkheid); Begunstigden wacht op de bewezen generieke autorisatieparametrisering (harde afhankelijkheid, deel 11 §4.2).</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Hard: de generieke autorisatieservice moet werken vóór Begunstigden kan bouwen. Zacht: de exacte teamvolgorde tussen Adreswijzigingen en Betalingsmutaties (beide relatief licht) kan wisselen bij capaciteitsdruk zonder architectonisch risico.</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Adreswijzigingen (zwakke afhankelijkheid van de pilot) kan grotendeels doorgaan zoals gepland; Begunstigden (harde afhankelijkheid van bewezen generieke autorisatie) schuift wél mee met de uitloop van de pilot.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"Alles schuift twee maanden" behandelt alle afhankelijkheden als hard, terwijl de roadmap juist het onderscheid hard/zacht moest maken (reader §5) — het luie antwoord verspilt precies de analyse die opdracht 2 al leverde en negeert dat sommige domeinen weinig van de pilot afhankelijk zijn.</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Beoordelingskader opdracht 4 (peer feedback in deel 18)</w:t>
      </w:r>
    </w:p>
    <w:p>
      <w:pPr>
        <w:spacing w:after="160" w:line="300"/>
        <w:jc w:val="left"/>
      </w:pPr>
      <w:r>
        <w:rPr>
          <w:rFonts w:ascii="Calibri" w:cs="Calibri" w:eastAsia="Calibri" w:hAnsi="Calibri"/>
          <w:b w:val="false"/>
          <w:bCs w:val="false"/>
          <w:i w:val="false"/>
          <w:iCs w:val="false"/>
          <w:color w:val="1A1A1A"/>
          <w:sz w:val="21"/>
          <w:szCs w:val="21"/>
        </w:rPr>
        <w:t xml:space="preserve">Sterk: de matrices tonen concrete elementen (geen abstracte categorieën zonder inhoud); het uitloopscenario onderscheidt expliciet hard/zacht. Zwak: een roadmap zonder afhankelijkheidspijlen, feitelijk een simpele tijdlijn.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17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2026-08-17T14:47:48.749Z</dcterms:created>
  <dcterms:modified xsi:type="dcterms:W3CDTF">2026-08-17T14:47:48.750Z</dcterms:modified>
</cp:coreProperties>
</file>

<file path=docProps/custom.xml><?xml version="1.0" encoding="utf-8"?>
<Properties xmlns="http://schemas.openxmlformats.org/officeDocument/2006/custom-properties" xmlns:vt="http://schemas.openxmlformats.org/officeDocument/2006/docPropsVTypes"/>
</file>