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2 — Deel 21</w:t>
      </w:r>
    </w:p>
    <w:p>
      <w:pPr>
        <w:spacing w:after="300"/>
      </w:pPr>
      <w:r>
        <w:rPr>
          <w:rFonts w:ascii="Calibri" w:cs="Calibri" w:eastAsia="Calibri" w:hAnsi="Calibri"/>
          <w:b/>
          <w:bCs/>
          <w:color w:val="14213D"/>
          <w:sz w:val="40"/>
          <w:szCs w:val="40"/>
        </w:rPr>
        <w:t xml:space="preserve">Architectuurgovernance en de board: fase G-H op programmaschaal</w:t>
      </w:r>
    </w:p>
    <w:tbl>
      <w:tblPr>
        <w:tblW w:type="pct" w:w="100%"/>
        <w:tblBorders>
          <w:top w:val="single" w:color="2563A8" w:sz="4"/>
          <w:left w:val="single" w:color="2563A8" w:sz="24"/>
          <w:bottom w:val="single" w:color="2563A8" w:sz="4"/>
          <w:right w:val="single" w:color="2563A8" w:sz="4"/>
          <w:insideH w:val="single" w:color="auto" w:sz="4"/>
          <w:insideV w:val="single" w:color="auto" w:sz="4"/>
        </w:tblBorders>
      </w:tblPr>
      <w:tblGrid>
        <w:gridCol w:w="100"/>
      </w:tblGrid>
      <w:tr>
        <w:tc>
          <w:tcPr>
            <w:shd w:fill="F0F4FA" w:color="auto" w:val="clear"/>
            <w:tcMar>
              <w:top w:type="dxa" w:w="160"/>
              <w:left w:type="dxa" w:w="220"/>
              <w:bottom w:type="dxa" w:w="160"/>
              <w:right w:type="dxa" w:w="220"/>
            </w:tcMar>
          </w:tcPr>
          <w:p>
            <w:pPr>
              <w:spacing w:after="60"/>
            </w:pPr>
            <w:r>
              <w:rPr>
                <w:rFonts w:ascii="Calibri" w:cs="Calibri" w:eastAsia="Calibri" w:hAnsi="Calibri"/>
                <w:b/>
                <w:bCs/>
                <w:color w:val="2563A8"/>
                <w:sz w:val="17"/>
                <w:szCs w:val="17"/>
              </w:rPr>
              <w:t xml:space="preserve">POSITIONERING</w:t>
            </w:r>
          </w:p>
          <w:p>
            <w:pPr>
              <w:spacing w:after="0" w:line="290"/>
            </w:pPr>
            <w:r>
              <w:rPr>
                <w:rFonts w:ascii="Calibri" w:cs="Calibri" w:eastAsia="Calibri" w:hAnsi="Calibri"/>
                <w:color w:val="14213D"/>
                <w:sz w:val="20"/>
                <w:szCs w:val="20"/>
              </w:rPr>
              <w:t xml:space="preserve">Dit deel verdiept fase G-H (niveau 1, deel 9) en het architectuurgremium naar volle programmaschaal, met het Mutatieplatform inmiddels in productie voor meerdere domeinen (deel 17-18). Examenstof Practitioner: formele governance-processen, escalatiestructuren, en het board-concept.</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architectuurgremium (niveau 1, deel 9) laten doorgroeien tot een volwaardige board wanneer schaal dat vereist;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formeel escalatiemodel ontwerpen met meerdere niveaus (team, programma, enterprise);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compliance- en auditvraagstukken op governanceniveau beantwoorden — hoe toont u aantoonbare beheersing aan een toezichthouder;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volledige governance-architectuur van dit programma (delen 9, 11, 14, 19, 21) in één samenhangend geheel presenteren.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 Casus: de board-vraag</w:t>
      </w:r>
    </w:p>
    <w:p>
      <w:pPr>
        <w:spacing w:after="160" w:line="300"/>
        <w:jc w:val="left"/>
      </w:pPr>
      <w:r>
        <w:rPr>
          <w:rFonts w:ascii="Calibri" w:cs="Calibri" w:eastAsia="Calibri" w:hAnsi="Calibri"/>
          <w:b w:val="false"/>
          <w:bCs w:val="false"/>
          <w:i w:val="false"/>
          <w:iCs w:val="false"/>
          <w:color w:val="1A1A1A"/>
          <w:sz w:val="21"/>
          <w:szCs w:val="21"/>
        </w:rPr>
        <w:t xml:space="preserve">Met vier van de vijf mutatiedomeinen in productie of in bouw, en de architectuurfunctie inmiddels verantwoordelijk voor meerdere programma's (deel 18 noemde het declaratieproces al), stelt de CIO een vraag die niveau 1's gremium op de proef stelt: </w:t>
      </w:r>
      <w:r>
        <w:rPr>
          <w:rFonts w:ascii="Calibri" w:cs="Calibri" w:eastAsia="Calibri" w:hAnsi="Calibri"/>
          <w:b w:val="false"/>
          <w:bCs w:val="false"/>
          <w:i/>
          <w:iCs/>
          <w:color w:val="1A1A1A"/>
          <w:sz w:val="21"/>
          <w:szCs w:val="21"/>
        </w:rPr>
        <w:t xml:space="preserve">"Ons huidige gremium is ontstaan voor één programma. Nu we drie programma's tegelijk hebben, moet het misschien een echte board worden — met een ander mandaat. Wat verandert daarmee?"</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 Van gremium naar board: wanneer schaal het vereist</w:t>
      </w:r>
    </w:p>
    <w:p>
      <w:pPr>
        <w:spacing w:after="160" w:line="300"/>
        <w:jc w:val="left"/>
      </w:pPr>
      <w:r>
        <w:rPr>
          <w:rFonts w:ascii="Calibri" w:cs="Calibri" w:eastAsia="Calibri" w:hAnsi="Calibri"/>
          <w:b w:val="false"/>
          <w:bCs w:val="false"/>
          <w:i w:val="false"/>
          <w:iCs w:val="false"/>
          <w:color w:val="1A1A1A"/>
          <w:sz w:val="21"/>
          <w:szCs w:val="21"/>
        </w:rPr>
        <w:t xml:space="preserve">Niveau 1 (deel 9, §7) ontwierp het gremium bewust klein en licht, gebonden aan één dossier. Deel 11 (§4.3) liet het meegroeien naar programmaschaal. Op enterprise-schaal — meerdere programma's, elk met eigen belangen — verandert de opgave opnieuw: het orgaan moet nu </w:t>
      </w:r>
      <w:r>
        <w:rPr>
          <w:rFonts w:ascii="Calibri" w:cs="Calibri" w:eastAsia="Calibri" w:hAnsi="Calibri"/>
          <w:b/>
          <w:bCs/>
          <w:i w:val="false"/>
          <w:iCs w:val="false"/>
          <w:color w:val="1A1A1A"/>
          <w:sz w:val="21"/>
          <w:szCs w:val="21"/>
        </w:rPr>
        <w:t xml:space="preserve">tussen programma's</w:t>
      </w:r>
      <w:r>
        <w:rPr>
          <w:rFonts w:ascii="Calibri" w:cs="Calibri" w:eastAsia="Calibri" w:hAnsi="Calibri"/>
          <w:b w:val="false"/>
          <w:bCs w:val="false"/>
          <w:i w:val="false"/>
          <w:iCs w:val="false"/>
          <w:color w:val="1A1A1A"/>
          <w:sz w:val="21"/>
          <w:szCs w:val="21"/>
        </w:rPr>
        <w:t xml:space="preserve"> arbitreren, niet alleen tussen domeinen binnen één programma.</w:t>
      </w:r>
    </w:p>
    <w:p>
      <w:pPr>
        <w:spacing w:after="160" w:line="300"/>
        <w:jc w:val="left"/>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Architecture Board</w:t>
      </w:r>
      <w:r>
        <w:rPr>
          <w:rFonts w:ascii="Calibri" w:cs="Calibri" w:eastAsia="Calibri" w:hAnsi="Calibri"/>
          <w:b w:val="false"/>
          <w:bCs w:val="false"/>
          <w:i w:val="false"/>
          <w:iCs w:val="false"/>
          <w:color w:val="1A1A1A"/>
          <w:sz w:val="21"/>
          <w:szCs w:val="21"/>
        </w:rPr>
        <w:t xml:space="preserve"> (de gangbare TOGAF-term op dit niveau) behoudt de kernprincipes van het gremium (mandaat plus kennis, klein en licht, stelt vast maar bemoeit zich niet met individuele projectkeuzes) maar krijgt een uitgebreider mandaat: portfolioprioritering tussen programma's, enterprise-brede principes bekrachtigen (niet alleen programmaspecifieke), en de escalatieroute voor conflicten die het niveau van één programma overstijgen.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Wat niet verandert.</w:t>
            </w:r>
            <w:r>
              <w:rPr>
                <w:rFonts w:ascii="Calibri" w:cs="Calibri" w:eastAsia="Calibri" w:hAnsi="Calibri"/>
                <w:b w:val="false"/>
                <w:bCs w:val="false"/>
                <w:i/>
                <w:iCs/>
                <w:color w:val="14213D"/>
                <w:sz w:val="20"/>
                <w:szCs w:val="20"/>
              </w:rPr>
              <w:t xml:space="preserve"> De vuistregels van niveau 1 (deel 9, §7.2-7.3) blijven onverkort gelden: vervangt geen stuurgroepen, stuurt niet op tijd en geld, werkt met een lichte cadans plus snelle escalatieroute. Schaal verandert het mandaat, niet het karakter.</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3. Een formeel escalatiemodel met meerdere niveaus</w:t>
      </w:r>
    </w:p>
    <w:p>
      <w:pPr>
        <w:spacing w:after="160" w:line="300"/>
        <w:jc w:val="left"/>
      </w:pPr>
      <w:r>
        <w:rPr>
          <w:rFonts w:ascii="Calibri" w:cs="Calibri" w:eastAsia="Calibri" w:hAnsi="Calibri"/>
          <w:b w:val="false"/>
          <w:bCs w:val="false"/>
          <w:i w:val="false"/>
          <w:iCs w:val="false"/>
          <w:color w:val="1A1A1A"/>
          <w:sz w:val="21"/>
          <w:szCs w:val="21"/>
        </w:rPr>
        <w:t xml:space="preserve">Op deze schaal ontstaat een drieledige escalatiestructuur:</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Teamniveau:</w:t>
      </w:r>
      <w:r>
        <w:rPr>
          <w:rFonts w:ascii="Calibri" w:cs="Calibri" w:eastAsia="Calibri" w:hAnsi="Calibri"/>
          <w:b w:val="false"/>
          <w:bCs w:val="false"/>
          <w:i w:val="false"/>
          <w:iCs w:val="false"/>
          <w:color w:val="1A1A1A"/>
          <w:sz w:val="21"/>
          <w:szCs w:val="21"/>
        </w:rPr>
        <w:t xml:space="preserve"> ADR's, Definition of Done (deel 19) — de meeste beslissingen, opgelost zonder escalatie.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Programmaniveau:</w:t>
      </w:r>
      <w:r>
        <w:rPr>
          <w:rFonts w:ascii="Calibri" w:cs="Calibri" w:eastAsia="Calibri" w:hAnsi="Calibri"/>
          <w:b w:val="false"/>
          <w:bCs w:val="false"/>
          <w:i w:val="false"/>
          <w:iCs w:val="false"/>
          <w:color w:val="1A1A1A"/>
          <w:sz w:val="21"/>
          <w:szCs w:val="21"/>
        </w:rPr>
        <w:t xml:space="preserve"> de samenhangtoets (deel 11) en het programmagremium — beslissingen die één programma raken.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Enterprise-niveau:</w:t>
      </w:r>
      <w:r>
        <w:rPr>
          <w:rFonts w:ascii="Calibri" w:cs="Calibri" w:eastAsia="Calibri" w:hAnsi="Calibri"/>
          <w:b w:val="false"/>
          <w:bCs w:val="false"/>
          <w:i w:val="false"/>
          <w:iCs w:val="false"/>
          <w:color w:val="1A1A1A"/>
          <w:sz w:val="21"/>
          <w:szCs w:val="21"/>
        </w:rPr>
        <w:t xml:space="preserve"> de Architecture Board — beslissingen die meerdere programma's raken, of principiële kwesties die de hele organisatie aangaan (bijvoorbeeld: geldt "vermogens vóór systemen" ook voor het declaratieproces, of is dat een aparte afweging?).</w:t>
      </w:r>
    </w:p>
    <w:p>
      <w:pPr>
        <w:spacing w:after="160" w:line="300"/>
        <w:jc w:val="left"/>
      </w:pPr>
      <w:r>
        <w:rPr>
          <w:rFonts w:ascii="Calibri" w:cs="Calibri" w:eastAsia="Calibri" w:hAnsi="Calibri"/>
          <w:b w:val="false"/>
          <w:bCs w:val="false"/>
          <w:i w:val="false"/>
          <w:iCs w:val="false"/>
          <w:color w:val="1A1A1A"/>
          <w:sz w:val="21"/>
          <w:szCs w:val="21"/>
        </w:rPr>
        <w:t xml:space="preserve">Elke escalatie die het volgende niveau bereikt, moet </w:t>
      </w:r>
      <w:r>
        <w:rPr>
          <w:rFonts w:ascii="Calibri" w:cs="Calibri" w:eastAsia="Calibri" w:hAnsi="Calibri"/>
          <w:b/>
          <w:bCs/>
          <w:i w:val="false"/>
          <w:iCs w:val="false"/>
          <w:color w:val="1A1A1A"/>
          <w:sz w:val="21"/>
          <w:szCs w:val="21"/>
        </w:rPr>
        <w:t xml:space="preserve">kunnen aantonen dat de lagere niveaus zijn doorlopen</w:t>
      </w:r>
      <w:r>
        <w:rPr>
          <w:rFonts w:ascii="Calibri" w:cs="Calibri" w:eastAsia="Calibri" w:hAnsi="Calibri"/>
          <w:b w:val="false"/>
          <w:bCs w:val="false"/>
          <w:i w:val="false"/>
          <w:iCs w:val="false"/>
          <w:color w:val="1A1A1A"/>
          <w:sz w:val="21"/>
          <w:szCs w:val="21"/>
        </w:rPr>
        <w:t xml:space="preserve"> — niet als bureaucratische hindernis, maar omdat een board die triviale kwesties behandelt evenveel risico loopt als het te-zware-gremium-risico uit niveau 1 (deel 9, opdracht 4e), nu op grotere schaal.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4. Compliance en aantoonbare beheersing</w:t>
      </w:r>
    </w:p>
    <w:p>
      <w:pPr>
        <w:spacing w:after="160" w:line="300"/>
        <w:jc w:val="left"/>
      </w:pPr>
      <w:r>
        <w:rPr>
          <w:rFonts w:ascii="Calibri" w:cs="Calibri" w:eastAsia="Calibri" w:hAnsi="Calibri"/>
          <w:b w:val="false"/>
          <w:bCs w:val="false"/>
          <w:i w:val="false"/>
          <w:iCs w:val="false"/>
          <w:color w:val="1A1A1A"/>
          <w:sz w:val="21"/>
          <w:szCs w:val="21"/>
        </w:rPr>
        <w:t xml:space="preserve">Niveau 1 (deel 7, §5) introduceerde de DNB-alinea voor het leveranciersrisico. Op board-niveau wordt aantoonbare beheersing een structureel governance-onderwerp: een toezichthouder (of interne auditor) wil niet alleen weten dát er principes en standaarden zijn, maar of het </w:t>
      </w:r>
      <w:r>
        <w:rPr>
          <w:rFonts w:ascii="Calibri" w:cs="Calibri" w:eastAsia="Calibri" w:hAnsi="Calibri"/>
          <w:b/>
          <w:bCs/>
          <w:i w:val="false"/>
          <w:iCs w:val="false"/>
          <w:color w:val="1A1A1A"/>
          <w:sz w:val="21"/>
          <w:szCs w:val="21"/>
        </w:rPr>
        <w:t xml:space="preserve">proces</w:t>
      </w:r>
      <w:r>
        <w:rPr>
          <w:rFonts w:ascii="Calibri" w:cs="Calibri" w:eastAsia="Calibri" w:hAnsi="Calibri"/>
          <w:b w:val="false"/>
          <w:bCs w:val="false"/>
          <w:i w:val="false"/>
          <w:iCs w:val="false"/>
          <w:color w:val="1A1A1A"/>
          <w:sz w:val="21"/>
          <w:szCs w:val="21"/>
        </w:rPr>
        <w:t xml:space="preserve"> dat ze levend houdt, aantoonbaar werkt. Het bewijsmateriaal is precies wat dit hele niveau heeft opgebouwd: het Governance Log (niveau 1), de ADR's (deel 19), de samenhangtoets-notulen (deel 11), de PSA-toetsingen (deel 15) — een auditspoor dat niet apart voor de audit wordt gemaakt, maar een bijproduct is van governance die al goed functioneert.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De kernles.</w:t>
            </w:r>
            <w:r>
              <w:rPr>
                <w:rFonts w:ascii="Calibri" w:cs="Calibri" w:eastAsia="Calibri" w:hAnsi="Calibri"/>
                <w:b w:val="false"/>
                <w:bCs w:val="false"/>
                <w:i/>
                <w:iCs/>
                <w:color w:val="14213D"/>
                <w:sz w:val="20"/>
                <w:szCs w:val="20"/>
              </w:rPr>
              <w:t xml:space="preserve"> Aantoonbare beheersing is geen extra laag administratie bovenop governance — het is wat er overblijft als bewijs wanneer governance al goed werkt. Een organisatie die speciaal voor een audit documentatie moet produceren, heeft daarmee al aangetoond dat de dagelijkse governance het bewijs niet vanzelf oplevert.</w:t>
            </w:r>
          </w:p>
        </w:tc>
      </w:tr>
    </w:tbl>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5. De volledige governance-architectuur, samengevat</w:t>
      </w:r>
    </w:p>
    <w:p>
      <w:pPr>
        <w:spacing w:after="160" w:line="300"/>
        <w:jc w:val="left"/>
      </w:pPr>
      <w:r>
        <w:rPr>
          <w:rFonts w:ascii="Calibri" w:cs="Calibri" w:eastAsia="Calibri" w:hAnsi="Calibri"/>
          <w:b w:val="false"/>
          <w:bCs w:val="false"/>
          <w:i w:val="false"/>
          <w:iCs w:val="false"/>
          <w:color w:val="1A1A1A"/>
          <w:sz w:val="21"/>
          <w:szCs w:val="21"/>
        </w:rPr>
        <w:t xml:space="preserve">Dit deel is het sluitstuk van de governance-lijn die door niveau 1 en 2 liep. Eén overzicht: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Niveau</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Orgaan/instrument</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Reikwijdte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Team</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ADR's, Definition of Done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binnen één project</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Programma</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Samenhangtoets, PSA-toetsing, programmagremium</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binnen één programma</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Enterprise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Board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tussen programma's, enterprise-brede principes</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Elke laag heeft zijn eigen cadans (van per-sprint tot per-kwartaal), zijn eigen publiek, en zijn eigen soort beslissing — en geen enkele laag vervangt een andere. Dit is de volledige, praktische uitwerking van wat B9 (niveau 1) miste: niet één orgaan dat alles doet, maar een gelaagd stelsel waarin elke laag precies het risico opvangt waarvoor zij ontworpen is.</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6. Samenvatting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gremium groeit naar een Architecture Board wanneer meerdere programma's tegelijk lopen; het mandaat verbreedt, het karakter (klein, licht, adviserend aan de business) blijft gelijk.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drieledig escalatiemodel (team, programma, enterprise) zorgt dat elke laag alleen ontvangt wat zij daadwerkelijk moet behandelen.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Aantoonbare beheersing is een bijproduct van goed functionerende governance, geen aparte auditinspanning.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volledige governance-architectuur van deze cursus is nu compleet: van ADR tot Architecture Board, elke laag met een eigen, niet-overlappende rol.</w:t>
      </w:r>
    </w:p>
    <w:p>
      <w:pPr>
        <w:pStyle w:val="Heading2"/>
        <w:pBdr>
          <w:bottom w:val="single" w:color="2563A8" w:sz="6" w:space="4"/>
        </w:pBdr>
        <w:spacing w:after="160" w:before="300"/>
      </w:pPr>
      <w:r>
        <w:rPr>
          <w:rFonts w:ascii="Calibri" w:cs="Calibri" w:eastAsia="Calibri" w:hAnsi="Calibri"/>
          <w:b/>
          <w:bCs/>
          <w:color w:val="2563A8"/>
          <w:sz w:val="24"/>
          <w:szCs w:val="24"/>
        </w:rPr>
        <w:t xml:space="preserve">Begrippenlijst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Begrip</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Omschrijving</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Architecture Board</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gremium op enterprise-schaal, met portfoliomandaat over meerdere programma's</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Escalatiemodel</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gelaagde structuur: team → programma → enterprise</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Auditspoor</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het vastgelegde bewijs van governance, als bijproduct van goed functioneren</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Verder lezen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The Open Group, </w:t>
      </w:r>
      <w:r>
        <w:rPr>
          <w:rFonts w:ascii="Calibri" w:cs="Calibri" w:eastAsia="Calibri" w:hAnsi="Calibri"/>
          <w:b w:val="false"/>
          <w:bCs w:val="false"/>
          <w:i/>
          <w:iCs/>
          <w:color w:val="1A1A1A"/>
          <w:sz w:val="21"/>
          <w:szCs w:val="21"/>
        </w:rPr>
        <w:t xml:space="preserve">TOGAF® Standard, 10th Edition</w:t>
      </w:r>
      <w:r>
        <w:rPr>
          <w:rFonts w:ascii="Calibri" w:cs="Calibri" w:eastAsia="Calibri" w:hAnsi="Calibri"/>
          <w:b w:val="false"/>
          <w:bCs w:val="false"/>
          <w:i w:val="false"/>
          <w:iCs w:val="false"/>
          <w:color w:val="1A1A1A"/>
          <w:sz w:val="21"/>
          <w:szCs w:val="21"/>
        </w:rPr>
        <w:t xml:space="preserve"> — Architecture Governance, Architecture Board (examenstof Practitioner)</w:t>
      </w:r>
    </w:p>
    <w:p>
      <w:pPr>
        <w:spacing w:before="300"/>
      </w:pPr>
      <w:r>
        <w:rPr>
          <w:rFonts w:ascii="Calibri" w:cs="Calibri" w:eastAsia="Calibri" w:hAnsi="Calibri"/>
          <w:i/>
          <w:iCs/>
          <w:color w:val="6B7280"/>
          <w:sz w:val="20"/>
          <w:szCs w:val="20"/>
        </w:rPr>
        <w:t xml:space="preserve">Volgende deel: examentraining Practitioner + ArchiMate Part 2, en de capstone — doelarchitectuur en roadmap voor het Mutatieplatform, verdedigd met rollen.</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21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2026-08-17T14:47:51.321Z</dcterms:created>
  <dcterms:modified xsi:type="dcterms:W3CDTF">2026-08-17T14:47:51.322Z</dcterms:modified>
</cp:coreProperties>
</file>

<file path=docProps/custom.xml><?xml version="1.0" encoding="utf-8"?>
<Properties xmlns="http://schemas.openxmlformats.org/officeDocument/2006/custom-properties" xmlns:vt="http://schemas.openxmlformats.org/officeDocument/2006/docPropsVTypes"/>
</file>