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rFonts w:ascii="Calibri" w:cs="Calibri" w:eastAsia="Calibri" w:hAnsi="Calibri"/>
          <w:b/>
          <w:bCs/>
          <w:color w:val="2563A8"/>
          <w:sz w:val="20"/>
          <w:szCs w:val="20"/>
        </w:rPr>
        <w:t xml:space="preserve">BUSINESS &amp; ENTERPRISE ARCHITECTUUR</w:t>
      </w:r>
    </w:p>
    <w:p>
      <w:pPr>
        <w:spacing w:after="40"/>
      </w:pPr>
      <w:r>
        <w:rPr>
          <w:rFonts w:ascii="Calibri" w:cs="Calibri" w:eastAsia="Calibri" w:hAnsi="Calibri"/>
          <w:color w:val="6B7280"/>
          <w:sz w:val="22"/>
          <w:szCs w:val="22"/>
        </w:rPr>
        <w:t xml:space="preserve">Niveau 2 — Deel 22</w:t>
      </w:r>
    </w:p>
    <w:p>
      <w:pPr>
        <w:spacing w:after="300"/>
      </w:pPr>
      <w:r>
        <w:rPr>
          <w:rFonts w:ascii="Calibri" w:cs="Calibri" w:eastAsia="Calibri" w:hAnsi="Calibri"/>
          <w:b/>
          <w:bCs/>
          <w:color w:val="14213D"/>
          <w:sz w:val="32"/>
          <w:szCs w:val="32"/>
        </w:rPr>
        <w:t xml:space="preserve">Docentenhandleiding — Examentraining en capstone: doelarchitectuur en roadmap verdedigd</w:t>
      </w:r>
    </w:p>
    <w:tbl>
      <w:tblPr>
        <w:tblW w:type="pct" w:w="100%"/>
        <w:tblBorders>
          <w:top w:val="single" w:color="E9A13B" w:sz="4"/>
          <w:left w:val="single" w:color="E9A13B" w:sz="24"/>
          <w:bottom w:val="single" w:color="E9A13B" w:sz="4"/>
          <w:right w:val="single" w:color="E9A13B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1F6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80" w:line="290"/>
            </w:pPr>
            <w:r>
              <w:rPr>
                <w:rFonts w:ascii="Calibri" w:cs="Calibri" w:eastAsia="Calibri" w:hAnsi="Calibri"/>
                <w:b/>
                <w:bCs/>
                <w:i/>
                <w:iCs/>
                <w:color w:val="14213D"/>
                <w:sz w:val="20"/>
                <w:szCs w:val="20"/>
              </w:rPr>
              <w:t xml:space="preserve">Duur: </w:t>
            </w: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14213D"/>
                <w:sz w:val="20"/>
                <w:szCs w:val="20"/>
              </w:rPr>
              <w:t xml:space="preserve">één dagdeel (4 uur incl. pauze) — bij grote groepen tweede dagdeel voor de verdedigingen, zelfde overweging als niveau 1 deel 10</w:t>
            </w: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14213D"/>
                <w:sz w:val="20"/>
                <w:szCs w:val="20"/>
              </w:rPr>
              <w:t xml:space="preserve">   ·   </w:t>
            </w:r>
            <w:r>
              <w:rPr>
                <w:rFonts w:ascii="Calibri" w:cs="Calibri" w:eastAsia="Calibri" w:hAnsi="Calibri"/>
                <w:b/>
                <w:bCs/>
                <w:i/>
                <w:iCs/>
                <w:color w:val="14213D"/>
                <w:sz w:val="20"/>
                <w:szCs w:val="20"/>
              </w:rPr>
              <w:t xml:space="preserve">Groepsgrootte: </w:t>
            </w: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14213D"/>
                <w:sz w:val="20"/>
                <w:szCs w:val="20"/>
              </w:rPr>
              <w:t xml:space="preserve">8-16</w:t>
            </w: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14213D"/>
                <w:sz w:val="20"/>
                <w:szCs w:val="20"/>
              </w:rPr>
              <w:t xml:space="preserve">   ·   </w:t>
            </w:r>
            <w:r>
              <w:rPr>
                <w:rFonts w:ascii="Calibri" w:cs="Calibri" w:eastAsia="Calibri" w:hAnsi="Calibri"/>
                <w:b/>
                <w:bCs/>
                <w:i/>
                <w:iCs/>
                <w:color w:val="14213D"/>
                <w:sz w:val="20"/>
                <w:szCs w:val="20"/>
              </w:rPr>
              <w:t xml:space="preserve">Voorkennis: </w:t>
            </w: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14213D"/>
                <w:sz w:val="20"/>
                <w:szCs w:val="20"/>
              </w:rPr>
              <w:t xml:space="preserve">deel 11-21 volledig; alle programmadossier-hoofdstukken compleet</w:t>
            </w: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14213D"/>
                <w:sz w:val="20"/>
                <w:szCs w:val="20"/>
              </w:rPr>
              <w:t xml:space="preserve">   ·   </w:t>
            </w:r>
            <w:r>
              <w:rPr>
                <w:rFonts w:ascii="Calibri" w:cs="Calibri" w:eastAsia="Calibri" w:hAnsi="Calibri"/>
                <w:b/>
                <w:bCs/>
                <w:i/>
                <w:iCs/>
                <w:color w:val="14213D"/>
                <w:sz w:val="20"/>
                <w:szCs w:val="20"/>
              </w:rPr>
              <w:t xml:space="preserve">Materiaal: </w:t>
            </w: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14213D"/>
                <w:sz w:val="20"/>
                <w:szCs w:val="20"/>
              </w:rPr>
              <w:t xml:space="preserve">reader/werkboek/slidedeck deel 22, rolkaarten (programmastuurgroep/CFO/ander-programma-vertegenwoordiger/Architecture Board-lid), tijdklok</w:t>
            </w:r>
          </w:p>
        </w:tc>
      </w:tr>
    </w:tbl>
    <w:p>
      <w:pPr>
        <w:pStyle w:val="Heading2"/>
        <w:pBdr>
          <w:bottom w:val="single" w:color="2563A8" w:sz="6" w:space="4"/>
        </w:pBdr>
        <w:spacing w:after="160" w:before="300"/>
      </w:pPr>
      <w:r>
        <w:rPr>
          <w:rFonts w:ascii="Calibri" w:cs="Calibri" w:eastAsia="Calibri" w:hAnsi="Calibri"/>
          <w:b/>
          <w:bCs/>
          <w:color w:val="2563A8"/>
          <w:sz w:val="24"/>
          <w:szCs w:val="24"/>
        </w:rPr>
        <w:t xml:space="preserve">Plaats van dit deel in het niveau</w:t>
      </w:r>
    </w:p>
    <w:p>
      <w:pPr>
        <w:spacing w:after="160" w:line="30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Het laatste deel van niveau 2, in vorm gelijk aan niveau 1's deel 10 maar op programmaschaal: bredere rolverdeling (vier in plaats van vier-maar-anders — met name de toevoeging van het andere-programma-perspectief en het Board-lid is nieuw), een vijfde rubriekcriterium (herbruikbaarheid), en langere verdedigingen (15 in plaats van 12 minuten). Waarschuw net als bij niveau 1 voor het tijdsrisico bij grote groepen.</w:t>
      </w:r>
    </w:p>
    <w:p>
      <w:pPr>
        <w:pStyle w:val="Heading2"/>
        <w:pBdr>
          <w:bottom w:val="single" w:color="2563A8" w:sz="6" w:space="4"/>
        </w:pBdr>
        <w:spacing w:after="160" w:before="300"/>
      </w:pPr>
      <w:r>
        <w:rPr>
          <w:rFonts w:ascii="Calibri" w:cs="Calibri" w:eastAsia="Calibri" w:hAnsi="Calibri"/>
          <w:b/>
          <w:bCs/>
          <w:color w:val="2563A8"/>
          <w:sz w:val="24"/>
          <w:szCs w:val="24"/>
        </w:rPr>
        <w:t xml:space="preserve">Dagdeelplanning (groep tot ~8, alles in één dagdeel)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000"/>
        <w:gridCol w:w="3000"/>
      </w:tblGrid>
      <w:tr>
        <w:tc>
          <w:tcPr>
            <w:tcW w:type="dxa" w:w="3000"/>
            <w:shd w:fill="14213D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Tijd</w:t>
            </w:r>
          </w:p>
        </w:tc>
        <w:tc>
          <w:tcPr>
            <w:tcW w:type="dxa" w:w="3000"/>
            <w:shd w:fill="14213D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Onderdeel</w:t>
            </w:r>
          </w:p>
        </w:tc>
        <w:tc>
          <w:tcPr>
            <w:tcW w:type="dxa" w:w="3000"/>
            <w:shd w:fill="14213D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Werkvorm</w:t>
            </w:r>
          </w:p>
        </w:tc>
      </w:tr>
      <w:tr>
        <w:tc>
          <w:tcPr>
            <w:tcW w:type="dxa" w:w="30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0:00–0:10</w:t>
            </w:r>
          </w:p>
        </w:tc>
        <w:tc>
          <w:tcPr>
            <w:tcW w:type="dxa" w:w="30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Opening: laatste deel van niveau 2</w:t>
            </w:r>
          </w:p>
        </w:tc>
        <w:tc>
          <w:tcPr>
            <w:tcW w:type="dxa" w:w="30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plenair</w:t>
            </w:r>
          </w:p>
        </w:tc>
      </w:tr>
      <w:tr>
        <w:tc>
          <w:tcPr>
            <w:tcW w:type="dxa" w:w="3000"/>
            <w:shd w:fill="EEF1F6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0:10–0:15</w:t>
            </w:r>
          </w:p>
        </w:tc>
        <w:tc>
          <w:tcPr>
            <w:tcW w:type="dxa" w:w="3000"/>
            <w:shd w:fill="EEF1F6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Examenformat kort toegelicht</w:t>
            </w:r>
          </w:p>
        </w:tc>
        <w:tc>
          <w:tcPr>
            <w:tcW w:type="dxa" w:w="3000"/>
            <w:shd w:fill="EEF1F6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plenair</w:t>
            </w:r>
          </w:p>
        </w:tc>
      </w:tr>
      <w:tr>
        <w:tc>
          <w:tcPr>
            <w:tcW w:type="dxa" w:w="30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0:15–0:55</w:t>
            </w:r>
          </w:p>
        </w:tc>
        <w:tc>
          <w:tcPr>
            <w:tcW w:type="dxa" w:w="30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Opdracht 1 — proefexamen</w:t>
            </w:r>
          </w:p>
        </w:tc>
        <w:tc>
          <w:tcPr>
            <w:tcW w:type="dxa" w:w="30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individueel</w:t>
            </w:r>
          </w:p>
        </w:tc>
      </w:tr>
      <w:tr>
        <w:tc>
          <w:tcPr>
            <w:tcW w:type="dxa" w:w="3000"/>
            <w:shd w:fill="EEF1F6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0:55–1:10</w:t>
            </w:r>
          </w:p>
        </w:tc>
        <w:tc>
          <w:tcPr>
            <w:tcW w:type="dxa" w:w="3000"/>
            <w:shd w:fill="EEF1F6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Nakijken + bespreking valkuilen</w:t>
            </w:r>
          </w:p>
        </w:tc>
        <w:tc>
          <w:tcPr>
            <w:tcW w:type="dxa" w:w="3000"/>
            <w:shd w:fill="EEF1F6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tweetallen → plenair</w:t>
            </w:r>
          </w:p>
        </w:tc>
      </w:tr>
      <w:tr>
        <w:tc>
          <w:tcPr>
            <w:tcW w:type="dxa" w:w="30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1:10–1:25</w:t>
            </w:r>
          </w:p>
        </w:tc>
        <w:tc>
          <w:tcPr>
            <w:tcW w:type="dxa" w:w="30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Pauze</w:t>
            </w:r>
          </w:p>
        </w:tc>
        <w:tc>
          <w:tcPr>
            <w:tcW w:type="dxa" w:w="30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3000"/>
            <w:shd w:fill="EEF1F6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1:25–1:55</w:t>
            </w:r>
          </w:p>
        </w:tc>
        <w:tc>
          <w:tcPr>
            <w:tcW w:type="dxa" w:w="3000"/>
            <w:shd w:fill="EEF1F6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Opdracht 2 — dossier samenvoegen</w:t>
            </w:r>
          </w:p>
        </w:tc>
        <w:tc>
          <w:tcPr>
            <w:tcW w:type="dxa" w:w="3000"/>
            <w:shd w:fill="EEF1F6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individueel</w:t>
            </w:r>
          </w:p>
        </w:tc>
      </w:tr>
      <w:tr>
        <w:tc>
          <w:tcPr>
            <w:tcW w:type="dxa" w:w="30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1:55–2:25</w:t>
            </w:r>
          </w:p>
        </w:tc>
        <w:tc>
          <w:tcPr>
            <w:tcW w:type="dxa" w:w="30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Opdracht 3 — verdediging voorbereiden</w:t>
            </w:r>
          </w:p>
        </w:tc>
        <w:tc>
          <w:tcPr>
            <w:tcW w:type="dxa" w:w="30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individueel + peer-check</w:t>
            </w:r>
          </w:p>
        </w:tc>
      </w:tr>
      <w:tr>
        <w:tc>
          <w:tcPr>
            <w:tcW w:type="dxa" w:w="3000"/>
            <w:shd w:fill="EEF1F6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2:25–3:55</w:t>
            </w:r>
          </w:p>
        </w:tc>
        <w:tc>
          <w:tcPr>
            <w:tcW w:type="dxa" w:w="3000"/>
            <w:shd w:fill="EEF1F6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Opdracht 4 — portfoliobeoordelingen</w:t>
            </w:r>
          </w:p>
        </w:tc>
        <w:tc>
          <w:tcPr>
            <w:tcW w:type="dxa" w:w="3000"/>
            <w:shd w:fill="EEF1F6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plenair, rouleren</w:t>
            </w:r>
          </w:p>
        </w:tc>
      </w:tr>
      <w:tr>
        <w:tc>
          <w:tcPr>
            <w:tcW w:type="dxa" w:w="30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3:55–4:00</w:t>
            </w:r>
          </w:p>
        </w:tc>
        <w:tc>
          <w:tcPr>
            <w:tcW w:type="dxa" w:w="30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Afsluiting niveau 2 + vooruitblik niveau 3</w:t>
            </w:r>
          </w:p>
        </w:tc>
        <w:tc>
          <w:tcPr>
            <w:tcW w:type="dxa" w:w="30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plenair</w:t>
            </w:r>
          </w:p>
        </w:tc>
      </w:tr>
    </w:tbl>
    <w:p>
      <w:pPr>
        <w:spacing w:before="200"/>
      </w:pPr>
    </w:p>
    <w:p>
      <w:pPr>
        <w:spacing w:after="160" w:line="30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Bij grotere groepen: verplaats opdracht 4 grotendeels of geheel naar een tweede dagdeel, zoals in niveau 1 deel 10 beschreven.</w:t>
      </w:r>
    </w:p>
    <w:p>
      <w:r>
        <w:br w:type="page"/>
      </w:r>
    </w:p>
    <w:p>
      <w:pPr>
        <w:pStyle w:val="Heading2"/>
        <w:pBdr>
          <w:bottom w:val="single" w:color="2563A8" w:sz="6" w:space="4"/>
        </w:pBdr>
        <w:spacing w:after="160" w:before="300"/>
      </w:pPr>
      <w:r>
        <w:rPr>
          <w:rFonts w:ascii="Calibri" w:cs="Calibri" w:eastAsia="Calibri" w:hAnsi="Calibri"/>
          <w:b/>
          <w:bCs/>
          <w:color w:val="2563A8"/>
          <w:sz w:val="24"/>
          <w:szCs w:val="24"/>
        </w:rPr>
        <w:t xml:space="preserve">Didactische aanwijzingen per onderdeel</w:t>
      </w:r>
    </w:p>
    <w:p>
      <w:pPr>
        <w:spacing w:after="160" w:line="30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21"/>
          <w:szCs w:val="21"/>
        </w:rPr>
        <w:t xml:space="preserve">Proefexamen.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Vraag 3 is de subtielste — bewaak dat de nabespreking het onderscheid parametriseren-versus-uitzondering scherp maakt: parametriseren dient terugkerende variantie, niet eenmalige gevallen.</w:t>
      </w:r>
    </w:p>
    <w:p>
      <w:pPr>
        <w:spacing w:after="160" w:line="30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21"/>
          <w:szCs w:val="21"/>
        </w:rPr>
        <w:t xml:space="preserve">Opdracht 4.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De twee nieuwe rollen (ander programma, Board-lid) vragen een andere soort vraag dan niveau 1's MT-rollen — brief de rolspelers: het andere-programma-lid vraagt door op hergebruikbaarheid ("kan ik dit letterlijk overnemen, of moet ik het herbouwen?"), het Board-lid vraagt door op governance-consistentie ("hoe weet ik dat dit niet stiekem van de enterprise-principes afwijkt?"). Beoordeel het vijfde rubriekcriterium (herbruikbaarheid) net zo serieus als de andere vier.</w:t>
      </w:r>
    </w:p>
    <w:p>
      <w:pPr>
        <w:spacing w:after="160" w:line="30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21"/>
          <w:szCs w:val="21"/>
        </w:rPr>
        <w:t xml:space="preserve">Afsluiting niveau 2.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Net als bij niveau 1: neem de tijd. Loop de governance-lijn (deel 9 t/m 21) nog eens langs, en de patroon/referentiearchitectuur-lijn (deel 18) als het tweede grote resultaat van dit niveau naast de opgeschaalde ADM-toepassing zelf.</w:t>
      </w:r>
    </w:p>
    <w:p>
      <w:pPr>
        <w:pStyle w:val="Heading2"/>
        <w:pBdr>
          <w:bottom w:val="single" w:color="2563A8" w:sz="6" w:space="4"/>
        </w:pBdr>
        <w:spacing w:after="160" w:before="300"/>
      </w:pPr>
      <w:r>
        <w:rPr>
          <w:rFonts w:ascii="Calibri" w:cs="Calibri" w:eastAsia="Calibri" w:hAnsi="Calibri"/>
          <w:b/>
          <w:bCs/>
          <w:color w:val="2563A8"/>
          <w:sz w:val="24"/>
          <w:szCs w:val="24"/>
        </w:rPr>
        <w:t xml:space="preserve">Voorbereiding niveau 3</w:t>
      </w:r>
    </w:p>
    <w:p>
      <w:pPr>
        <w:spacing w:after="160" w:line="30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Niveau 3 begint bij deel 23 met een nieuwe, zwaardere casus (Stelselovergang/Wtp) en een fundamenteel ander soort certificering (Open CA: evidence en boardverdediging, geen schriftelijk examen). Kondig dat verschil expliciet aan — de vaardigheid die niveau 3 vraagt (schriftelijk verantwoorden) is al door de hele cursus heen getraind via de verantwoordingsvragen, maar niveau 3 maakt die vaardigheid tot het volledige examen zelf.</w:t>
      </w:r>
    </w:p>
    <w:p>
      <w:pPr>
        <w:pStyle w:val="Heading2"/>
        <w:pBdr>
          <w:bottom w:val="single" w:color="2563A8" w:sz="6" w:space="4"/>
        </w:pBdr>
        <w:spacing w:after="160" w:before="300"/>
      </w:pPr>
      <w:r>
        <w:rPr>
          <w:rFonts w:ascii="Calibri" w:cs="Calibri" w:eastAsia="Calibri" w:hAnsi="Calibri"/>
          <w:b/>
          <w:bCs/>
          <w:color w:val="2563A8"/>
          <w:sz w:val="24"/>
          <w:szCs w:val="24"/>
        </w:rPr>
        <w:t xml:space="preserve">Afronding niveau 2</w:t>
      </w:r>
    </w:p>
    <w:p>
      <w:pPr>
        <w:spacing w:after="160" w:line="30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Niveau 2 is hiermee inhoudelijk compleet: twaalf delen, 48 deliverables, de ADM opgeschaald naar programmaniveau, BIZBOK-verdieping, ArchiMate Part 2 volledig, en een complete governance-architectuur van team tot enterprise (inclusief deel 20, los aanbiedbaar). Resterend voor de hele cursus: de Toolbijlage (buiten de nummering) en figuren + opmaak (allerlaatste stap, na niveau 3). Niveau 3 begint bij deel 23.</w:t>
      </w:r>
    </w:p>
    <w:sectPr>
      <w:headerReference w:type="default" r:id="rId7"/>
      <w:footerReference w:type="default" r:id="rId8"/>
      <w:pgSz w:w="11906" w:h="16838" w:orient="portrait"/>
      <w:pgMar w:top="1100" w:right="1100" w:bottom="110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6B7280"/>
        <w:sz w:val="15"/>
        <w:szCs w:val="15"/>
      </w:rPr>
      <w:t xml:space="preserve">Business &amp; Enterprise Architectuur — </w:t>
    </w:r>
    <w:r>
      <w:rPr>
        <w:rFonts w:ascii="Calibri" w:cs="Calibri" w:eastAsia="Calibri" w:hAnsi="Calibri"/>
        <w:color w:val="6B7280"/>
        <w:sz w:val="15"/>
        <w:szCs w:val="15"/>
      </w:rPr>
      <w:t xml:space="preserve">pagina </w:t>
    </w:r>
    <w:r>
      <w:rPr>
        <w:rFonts w:ascii="Calibri" w:cs="Calibri" w:eastAsia="Calibri" w:hAnsi="Calibri"/>
        <w:color w:val="6B7280"/>
        <w:sz w:val="15"/>
        <w:szCs w:val="15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Calibri" w:cs="Calibri" w:eastAsia="Calibri" w:hAnsi="Calibri"/>
        <w:color w:val="6B7280"/>
        <w:sz w:val="16"/>
        <w:szCs w:val="16"/>
      </w:rPr>
      <w:t xml:space="preserve">Deel 22 · Docentenhandleiding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2026-08-17T14:47:52.438Z</dcterms:created>
  <dcterms:modified xsi:type="dcterms:W3CDTF">2026-08-17T14:47:52.439Z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