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2563A8"/>
          <w:sz w:val="20"/>
          <w:szCs w:val="20"/>
        </w:rPr>
        <w:t xml:space="preserve">BUSINESS &amp; ENTERPRISE ARCHITECTUUR</w:t>
      </w:r>
    </w:p>
    <w:p>
      <w:pPr>
        <w:spacing w:after="4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Niveau 3 — Deel 23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Docentenhandleiding — Evidence-schrijfvaardigheid: het Experience Profile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Duur: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één dagdeel (4 uur incl. pauze)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Groepsgrootte: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8-16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Voorkennis: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volledig niveau 1-2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Materiaal: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reader/werkboek/slidedeck deel 23, kopieën van Profile A en B voor opdracht 1</w:t>
            </w:r>
          </w:p>
        </w:tc>
      </w:tr>
    </w:tbl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Plaats van dit deel in het niveau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Dit deel opent niveau 3 en verandert het ritme fundamenteel: geen nieuwe architectuurtechniek, maar een schrijfvaardigheid die het hele niveau draagt. Behandel de opening met gewicht — leg uit dat de verantwoordingsvraag die al sinds deel 1 van niveau 1 elke opdracht afsloot, nu de hoofdvaardigheid wordt in plaats van een bijzaak.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 Wtp-casus is zwaarder dan de vorige twee — benoem dat bij de introductie, maar vermijd dat het dagdeel in een juridische discussie over pensioenwetgeving verzandt; de architectuur- en verantwoordingsvaardigheid staat centraal, niet de wetdetails.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Dagdeelplanning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Tijd</w:t>
            </w:r>
          </w:p>
        </w:tc>
        <w:tc>
          <w:tcPr>
            <w:tcW w:type="dxa" w:w="30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Onderdeel</w:t>
            </w:r>
          </w:p>
        </w:tc>
        <w:tc>
          <w:tcPr>
            <w:tcW w:type="dxa" w:w="30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Werkvorm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0:00–0:20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Welkom niveau 3 + casus Stelselovergang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0:20–0:40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Theorie: waarom Open CA geen examen heeft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0:40–1:00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Theorie: de structuur van een Experience Profile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1:00–1:25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1 — zwak versus sterk herkennen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tweetallen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1:25–1:40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Pauze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1:40–2:15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2 — eigen profile schrijven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individueel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2:15–2:40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3 — peer review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tweetallen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2:40–3:00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4 — herschrijven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individueel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3:00–3:50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Verwerkingstijd huiswerk (tweede profile)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individueel, begeleid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3:50–4:00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Samenvatting + vooruitblik deel 24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</w:tbl>
    <w:p>
      <w:pPr>
        <w:spacing w:before="200"/>
      </w:pP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Didactische aanwijzingen per onderdeel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1.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Profile A is expliciet zwak — laat de groep hem eerst zonder hulp beoordelen; de herkenning van de vijf ontbrekende criteria moet uit henzelf komen.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2.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De grootste hindernis is vaak vals-bescheiden schrijven ("ik was er niet echt bepalend bij") of juist overdreven eigen-verdienste-taal — beide zijn zwak. Loop rond met de vraag: "wat was ú concreet aan het doen op het moment van de beslissing?"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3.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Bewaak dat de feedback specifiek is (welke zin, welk criterium) in plaats van algemeen ("goed geschreven"). Dit dagdeel traint de groep om zelf ook als boardlid te kunnen functioneren — een vaardigheid die in latere niveau 3-delen (casuïstiek-marathons, de masterproef) hard nodig is.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3c.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Dit is een mooi zelfreflectiemoment — laat het echt beantwoord worden, niet overslaan.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Veelgestelde vragen en gevoeligheden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"Mag ik een profile schrijven over een beslissing die niet perfect uitpakte?"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Dat is vaak juist een sterker profile, mits de architectonische afweging zelf goed was; het board beoordeelt de kwaliteit van het denken, niet alleen de uitkomst.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"Wat als mijn echte werkervaring geen duidelijke 'ik'-beslissingen bevat, alleen teamwerk?"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Elke teambeslissing heeft een individuele bijdrage (een specifiek argument dat u inbracht, een afweging die u maakte); de vaardigheid is die eruit te destilleren, niet een fictieve solistische rol te verzinnen.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Gevoeligheid: sommige deelnemers vinden het ongemakkelijk om eigen tekortkomingen te benoemen (culturele of persoonlijke bescheidenheid) — normaliseer dit expliciet als een vaardigheid, niet als zelfkritiek; het board zoekt reflectie, geen schuldbekentenis.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Voorbereiding volgende bijeenkomst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Tweede profiles vooraf laten inleveren; scan op de vijf criteria. Deel 24 (strategie-executie op bestuursniveau) bouwt op deze schrijfvaardigheid voort met een zwaardere, bestuurlijke casus.</w:t>
      </w:r>
    </w:p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Business &amp; Enterprise Architectuur — </w:t>
    </w:r>
    <w:r>
      <w:rPr>
        <w:rFonts w:ascii="Calibri" w:cs="Calibri" w:eastAsia="Calibri" w:hAnsi="Calibri"/>
        <w:color w:val="6B7280"/>
        <w:sz w:val="15"/>
        <w:szCs w:val="15"/>
      </w:rPr>
      <w:t xml:space="preserve">pagina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Deel 23 · Docentenhandleiding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2026-08-17T14:47:53.101Z</dcterms:created>
  <dcterms:modified xsi:type="dcterms:W3CDTF">2026-08-17T14:47:53.102Z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