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3 — Deel 24</w:t>
      </w:r>
    </w:p>
    <w:p>
      <w:pPr>
        <w:spacing w:after="300"/>
      </w:pPr>
      <w:r>
        <w:rPr>
          <w:rFonts w:ascii="Calibri" w:cs="Calibri" w:eastAsia="Calibri" w:hAnsi="Calibri"/>
          <w:b/>
          <w:bCs/>
          <w:color w:val="14213D"/>
          <w:sz w:val="40"/>
          <w:szCs w:val="40"/>
        </w:rPr>
        <w:t xml:space="preserve">Strategie-executie op bestuursniveau: architectuur als instrument van de Wtp-transitie</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Dit deel verdiept de Experience Profile-vaardigheid (deel 23) op het zwaarste niveau van deze cursus: het bestuur. Waar niveau 1-2 met MT en stuurgroepen werkte, werkt niveau 3 met het bestuur en de raad van toezicht van Meridiaan — de instantie die uiteindelijk voor de Wtp-transitie verantwoordelijk is.</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architectuur presenteren in de taal van bestuurlijke strategie-executie, niet in architectuurjargon;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onderscheid tussen operationele en bestuurlijke risico's hanteren bij het adviseren over de Wtp-transitie;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Experience Profile schrijven op bestuursniveau, waarin de "stakeholder" het bestuur zelf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omgaan met een bestuur dat onder tijdsdruk staat en tegelijk zorgvuldigheid eist — de kern-spanning van elke grote transitie.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het bestuur wil één ding weten</w:t>
      </w:r>
    </w:p>
    <w:p>
      <w:pPr>
        <w:spacing w:after="160" w:line="300"/>
        <w:jc w:val="left"/>
      </w:pPr>
      <w:r>
        <w:rPr>
          <w:rFonts w:ascii="Calibri" w:cs="Calibri" w:eastAsia="Calibri" w:hAnsi="Calibri"/>
          <w:b w:val="false"/>
          <w:bCs w:val="false"/>
          <w:i w:val="false"/>
          <w:iCs w:val="false"/>
          <w:color w:val="1A1A1A"/>
          <w:sz w:val="21"/>
          <w:szCs w:val="21"/>
        </w:rPr>
        <w:t xml:space="preserve">Het bestuur van Meridiaan heeft, anderhalf jaar voor de deadline, één vraag voor de architectuurfunctie: </w:t>
      </w:r>
      <w:r>
        <w:rPr>
          <w:rFonts w:ascii="Calibri" w:cs="Calibri" w:eastAsia="Calibri" w:hAnsi="Calibri"/>
          <w:b w:val="false"/>
          <w:bCs w:val="false"/>
          <w:i/>
          <w:iCs/>
          <w:color w:val="1A1A1A"/>
          <w:sz w:val="21"/>
          <w:szCs w:val="21"/>
        </w:rPr>
        <w:t xml:space="preserve">"Kunnen wij op 1 januari 2028 verantwoord invaren, of niet? Geef ons geen architectuurplaat — geef ons een antwoord waar wij persoonlijk voor kunnen instaan bij DNB en AFM."</w:t>
      </w:r>
    </w:p>
    <w:p>
      <w:pPr>
        <w:spacing w:after="160" w:line="300"/>
        <w:jc w:val="left"/>
      </w:pPr>
      <w:r>
        <w:rPr>
          <w:rFonts w:ascii="Calibri" w:cs="Calibri" w:eastAsia="Calibri" w:hAnsi="Calibri"/>
          <w:b w:val="false"/>
          <w:bCs w:val="false"/>
          <w:i w:val="false"/>
          <w:iCs w:val="false"/>
          <w:color w:val="1A1A1A"/>
          <w:sz w:val="21"/>
          <w:szCs w:val="21"/>
        </w:rPr>
        <w:t xml:space="preserve">Dit is een ander soort vraag dan alles wat niveau 1-2 vroegen. Een MT wil weten of een project goed loopt; een bestuur wil weten of het </w:t>
      </w:r>
      <w:r>
        <w:rPr>
          <w:rFonts w:ascii="Calibri" w:cs="Calibri" w:eastAsia="Calibri" w:hAnsi="Calibri"/>
          <w:b/>
          <w:bCs/>
          <w:i w:val="false"/>
          <w:iCs w:val="false"/>
          <w:color w:val="1A1A1A"/>
          <w:sz w:val="21"/>
          <w:szCs w:val="21"/>
        </w:rPr>
        <w:t xml:space="preserve">persoonlijk aansprakelijk</w:t>
      </w:r>
      <w:r>
        <w:rPr>
          <w:rFonts w:ascii="Calibri" w:cs="Calibri" w:eastAsia="Calibri" w:hAnsi="Calibri"/>
          <w:b w:val="false"/>
          <w:bCs w:val="false"/>
          <w:i w:val="false"/>
          <w:iCs w:val="false"/>
          <w:color w:val="1A1A1A"/>
          <w:sz w:val="21"/>
          <w:szCs w:val="21"/>
        </w:rPr>
        <w:t xml:space="preserve"> kan worden gehouden voor een verkeerd antwoord. Architectuuradvies op dit niveau moet die aansprakelijkheidsdimensie serieus nemen zonder zelf een juridisch advies te worden.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De taal van bestuurlijke strategie-executie</w:t>
      </w:r>
    </w:p>
    <w:p>
      <w:pPr>
        <w:spacing w:after="160" w:line="300"/>
        <w:jc w:val="left"/>
      </w:pPr>
      <w:r>
        <w:rPr>
          <w:rFonts w:ascii="Calibri" w:cs="Calibri" w:eastAsia="Calibri" w:hAnsi="Calibri"/>
          <w:b w:val="false"/>
          <w:bCs w:val="false"/>
          <w:i w:val="false"/>
          <w:iCs w:val="false"/>
          <w:color w:val="1A1A1A"/>
          <w:sz w:val="21"/>
          <w:szCs w:val="21"/>
        </w:rPr>
        <w:t xml:space="preserve">Niveau 1 (deel 1, §5.2) leerde al: spreek de taal van de concern. Op bestuursniveau is die concern zelden technisch — het is </w:t>
      </w:r>
      <w:r>
        <w:rPr>
          <w:rFonts w:ascii="Calibri" w:cs="Calibri" w:eastAsia="Calibri" w:hAnsi="Calibri"/>
          <w:b/>
          <w:bCs/>
          <w:i w:val="false"/>
          <w:iCs w:val="false"/>
          <w:color w:val="1A1A1A"/>
          <w:sz w:val="21"/>
          <w:szCs w:val="21"/>
        </w:rPr>
        <w:t xml:space="preserve">strategisch en risicogedreven</w:t>
      </w:r>
      <w:r>
        <w:rPr>
          <w:rFonts w:ascii="Calibri" w:cs="Calibri" w:eastAsia="Calibri" w:hAnsi="Calibri"/>
          <w:b w:val="false"/>
          <w:bCs w:val="false"/>
          <w:i w:val="false"/>
          <w:iCs w:val="false"/>
          <w:color w:val="1A1A1A"/>
          <w:sz w:val="21"/>
          <w:szCs w:val="21"/>
        </w:rPr>
        <w:t xml:space="preserve">. Een architectuuradvies dat begint met "de datakwaliteit van het invaarbestand" verliest het bestuur binnen een zin; een advies dat begint met "hier is het besluit dat u moet nemen, en dit is waarom" houdt de aandacht.</w:t>
      </w:r>
    </w:p>
    <w:p>
      <w:pPr>
        <w:spacing w:after="160" w:line="300"/>
        <w:jc w:val="left"/>
      </w:pPr>
      <w:r>
        <w:rPr>
          <w:rFonts w:ascii="Calibri" w:cs="Calibri" w:eastAsia="Calibri" w:hAnsi="Calibri"/>
          <w:b w:val="false"/>
          <w:bCs w:val="false"/>
          <w:i w:val="false"/>
          <w:iCs w:val="false"/>
          <w:color w:val="1A1A1A"/>
          <w:sz w:val="21"/>
          <w:szCs w:val="21"/>
        </w:rPr>
        <w:t xml:space="preserve">De vertaalslag die dit deel traint: elk architectonisch feit (een datakwaliteitsprobleem, een systeemafhankelijkheid, een testresultaat) wordt herschreven naar </w:t>
      </w:r>
      <w:r>
        <w:rPr>
          <w:rFonts w:ascii="Calibri" w:cs="Calibri" w:eastAsia="Calibri" w:hAnsi="Calibri"/>
          <w:b/>
          <w:bCs/>
          <w:i w:val="false"/>
          <w:iCs w:val="false"/>
          <w:color w:val="1A1A1A"/>
          <w:sz w:val="21"/>
          <w:szCs w:val="21"/>
        </w:rPr>
        <w:t xml:space="preserve">wat het betekent voor het bestuursbesluit</w:t>
      </w:r>
      <w:r>
        <w:rPr>
          <w:rFonts w:ascii="Calibri" w:cs="Calibri" w:eastAsia="Calibri" w:hAnsi="Calibri"/>
          <w:b w:val="false"/>
          <w:bCs w:val="false"/>
          <w:i w:val="false"/>
          <w:iCs w:val="false"/>
          <w:color w:val="1A1A1A"/>
          <w:sz w:val="21"/>
          <w:szCs w:val="21"/>
        </w:rPr>
        <w:t xml:space="preserve">. "Twaalf procent van de dossiers heeft een afwijkende historieregistratie" wordt "wij kunnen op dit moment niet garanderen dat twaalf procent van de deelnemers correct wordt ingevaren — dat is het percentage waarover u een besluit moet nemen: accepteren, herstellen, of uitstellen."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Operationeel risico versus bestuurlijk risico</w:t>
      </w:r>
    </w:p>
    <w:p>
      <w:pPr>
        <w:spacing w:after="160" w:line="300"/>
        <w:jc w:val="left"/>
      </w:pPr>
      <w:r>
        <w:rPr>
          <w:rFonts w:ascii="Calibri" w:cs="Calibri" w:eastAsia="Calibri" w:hAnsi="Calibri"/>
          <w:b w:val="false"/>
          <w:bCs w:val="false"/>
          <w:i w:val="false"/>
          <w:iCs w:val="false"/>
          <w:color w:val="1A1A1A"/>
          <w:sz w:val="21"/>
          <w:szCs w:val="21"/>
        </w:rPr>
        <w:t xml:space="preserve">Niet elk architectuurrisico hoort op het bord van het bestuur. Het onderscheid: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Operationeel risico:</w:t>
      </w:r>
      <w:r>
        <w:rPr>
          <w:rFonts w:ascii="Calibri" w:cs="Calibri" w:eastAsia="Calibri" w:hAnsi="Calibri"/>
          <w:b w:val="false"/>
          <w:bCs w:val="false"/>
          <w:i w:val="false"/>
          <w:iCs w:val="false"/>
          <w:color w:val="1A1A1A"/>
          <w:sz w:val="21"/>
          <w:szCs w:val="21"/>
        </w:rPr>
        <w:t xml:space="preserve"> hoort bij het programmateam of de Architecture Board (niveau 2, deel 21) — een technische keuze, een teamafhankelijkheid, een leveranciersvraag die binnen het mandaat van de architectuurfunctie valt.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Bestuurlijk risico:</w:t>
      </w:r>
      <w:r>
        <w:rPr>
          <w:rFonts w:ascii="Calibri" w:cs="Calibri" w:eastAsia="Calibri" w:hAnsi="Calibri"/>
          <w:b w:val="false"/>
          <w:bCs w:val="false"/>
          <w:i w:val="false"/>
          <w:iCs w:val="false"/>
          <w:color w:val="1A1A1A"/>
          <w:sz w:val="21"/>
          <w:szCs w:val="21"/>
        </w:rPr>
        <w:t xml:space="preserve"> raakt de aansprakelijkheid, de reputatie, of een onomkeerbare keuze die het bestuur zelf moet dragen — zoals de vraag of Meridiaan de deadline haalt, of een datakwaliteitsprobleem acceptabel is om mee in te varen.</w:t>
      </w:r>
    </w:p>
    <w:p>
      <w:pPr>
        <w:spacing w:after="160" w:line="300"/>
        <w:jc w:val="left"/>
      </w:pPr>
      <w:r>
        <w:rPr>
          <w:rFonts w:ascii="Calibri" w:cs="Calibri" w:eastAsia="Calibri" w:hAnsi="Calibri"/>
          <w:b w:val="false"/>
          <w:bCs w:val="false"/>
          <w:i w:val="false"/>
          <w:iCs w:val="false"/>
          <w:color w:val="1A1A1A"/>
          <w:sz w:val="21"/>
          <w:szCs w:val="21"/>
        </w:rPr>
        <w:t xml:space="preserve">De architectuurfunctie </w:t>
      </w:r>
      <w:r>
        <w:rPr>
          <w:rFonts w:ascii="Calibri" w:cs="Calibri" w:eastAsia="Calibri" w:hAnsi="Calibri"/>
          <w:b/>
          <w:bCs/>
          <w:i w:val="false"/>
          <w:iCs w:val="false"/>
          <w:color w:val="1A1A1A"/>
          <w:sz w:val="21"/>
          <w:szCs w:val="21"/>
        </w:rPr>
        <w:t xml:space="preserve">filtert</w:t>
      </w:r>
      <w:r>
        <w:rPr>
          <w:rFonts w:ascii="Calibri" w:cs="Calibri" w:eastAsia="Calibri" w:hAnsi="Calibri"/>
          <w:b w:val="false"/>
          <w:bCs w:val="false"/>
          <w:i w:val="false"/>
          <w:iCs w:val="false"/>
          <w:color w:val="1A1A1A"/>
          <w:sz w:val="21"/>
          <w:szCs w:val="21"/>
        </w:rPr>
        <w:t xml:space="preserve">: niet alles naar boven brengen (dat overlaadt het bestuur, hetzelfde risico als een te zwaar gremium, niveau 1 deel 9, nu op het hoogste niveau), maar ook niet te veel voor het bestuur beslissen door het risico intern op te lossen zonder het bestuur te informeren dat het bestond. De vuistregel: als het risico de deadline, de aansprakelijkheid, of een onomkeerbare keuze raakt, gaat het naar boven — met een advies, niet met alleen een probleem.</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Een Experience Profile op bestuursniveau</w:t>
      </w:r>
    </w:p>
    <w:p>
      <w:pPr>
        <w:spacing w:after="160" w:line="300"/>
        <w:jc w:val="left"/>
      </w:pPr>
      <w:r>
        <w:rPr>
          <w:rFonts w:ascii="Calibri" w:cs="Calibri" w:eastAsia="Calibri" w:hAnsi="Calibri"/>
          <w:b w:val="false"/>
          <w:bCs w:val="false"/>
          <w:i w:val="false"/>
          <w:iCs w:val="false"/>
          <w:color w:val="1A1A1A"/>
          <w:sz w:val="21"/>
          <w:szCs w:val="21"/>
        </w:rPr>
        <w:t xml:space="preserve">Toegepast op deel 23's structuur, voor de bestuursvraag uit §1:</w:t>
      </w:r>
    </w:p>
    <w:p>
      <w:pPr>
        <w:spacing w:after="160" w:line="300"/>
        <w:jc w:val="left"/>
      </w:pPr>
      <w:r>
        <w:rPr>
          <w:rFonts w:ascii="Calibri" w:cs="Calibri" w:eastAsia="Calibri" w:hAnsi="Calibri"/>
          <w:b w:val="false"/>
          <w:bCs w:val="false"/>
          <w:i/>
          <w:iCs/>
          <w:color w:val="1A1A1A"/>
          <w:sz w:val="21"/>
          <w:szCs w:val="21"/>
        </w:rPr>
        <w:t xml:space="preserve">Situatie:</w:t>
      </w:r>
      <w:r>
        <w:rPr>
          <w:rFonts w:ascii="Calibri" w:cs="Calibri" w:eastAsia="Calibri" w:hAnsi="Calibri"/>
          <w:b w:val="false"/>
          <w:bCs w:val="false"/>
          <w:i w:val="false"/>
          <w:iCs w:val="false"/>
          <w:color w:val="1A1A1A"/>
          <w:sz w:val="21"/>
          <w:szCs w:val="21"/>
        </w:rPr>
        <w:t xml:space="preserve"> het bestuur vroeg een eenduidig antwoord op de invaarbaarheid, anderhalf jaar voor de deadline, met DNB/AFM-aansprakelijkheid als impliciete achtergrond.</w:t>
      </w:r>
    </w:p>
    <w:p>
      <w:pPr>
        <w:spacing w:after="160" w:line="300"/>
        <w:jc w:val="left"/>
      </w:pPr>
      <w:r>
        <w:rPr>
          <w:rFonts w:ascii="Calibri" w:cs="Calibri" w:eastAsia="Calibri" w:hAnsi="Calibri"/>
          <w:b w:val="false"/>
          <w:bCs w:val="false"/>
          <w:i/>
          <w:iCs/>
          <w:color w:val="1A1A1A"/>
          <w:sz w:val="21"/>
          <w:szCs w:val="21"/>
        </w:rPr>
        <w:t xml:space="preserve">Beslissing:</w:t>
      </w:r>
      <w:r>
        <w:rPr>
          <w:rFonts w:ascii="Calibri" w:cs="Calibri" w:eastAsia="Calibri" w:hAnsi="Calibri"/>
          <w:b w:val="false"/>
          <w:bCs w:val="false"/>
          <w:i w:val="false"/>
          <w:iCs w:val="false"/>
          <w:color w:val="1A1A1A"/>
          <w:sz w:val="21"/>
          <w:szCs w:val="21"/>
        </w:rPr>
        <w:t xml:space="preserve"> ik adviseerde geen ja/nee-antwoord maar een </w:t>
      </w:r>
      <w:r>
        <w:rPr>
          <w:rFonts w:ascii="Calibri" w:cs="Calibri" w:eastAsia="Calibri" w:hAnsi="Calibri"/>
          <w:b/>
          <w:bCs/>
          <w:i w:val="false"/>
          <w:iCs w:val="false"/>
          <w:color w:val="1A1A1A"/>
          <w:sz w:val="21"/>
          <w:szCs w:val="21"/>
        </w:rPr>
        <w:t xml:space="preserve">gefaseerd zekerheidsplan</w:t>
      </w:r>
      <w:r>
        <w:rPr>
          <w:rFonts w:ascii="Calibri" w:cs="Calibri" w:eastAsia="Calibri" w:hAnsi="Calibri"/>
          <w:b w:val="false"/>
          <w:bCs w:val="false"/>
          <w:i w:val="false"/>
          <w:iCs w:val="false"/>
          <w:color w:val="1A1A1A"/>
          <w:sz w:val="21"/>
          <w:szCs w:val="21"/>
        </w:rPr>
        <w:t xml:space="preserve">: nu bekend twaalf procent afwijkende dossiers, met een concreet herstelpad en tussentijdse meetmomenten, zodat het bestuur elk kwartaal een actueel, onderbouwd antwoord heeft in plaats van één voorbarige toezegging.</w:t>
      </w:r>
    </w:p>
    <w:p>
      <w:pPr>
        <w:spacing w:after="160" w:line="300"/>
        <w:jc w:val="left"/>
      </w:pPr>
      <w:r>
        <w:rPr>
          <w:rFonts w:ascii="Calibri" w:cs="Calibri" w:eastAsia="Calibri" w:hAnsi="Calibri"/>
          <w:b w:val="false"/>
          <w:bCs w:val="false"/>
          <w:i/>
          <w:iCs/>
          <w:color w:val="1A1A1A"/>
          <w:sz w:val="21"/>
          <w:szCs w:val="21"/>
        </w:rPr>
        <w:t xml:space="preserve">Alternatieven en trade-off:</w:t>
      </w:r>
      <w:r>
        <w:rPr>
          <w:rFonts w:ascii="Calibri" w:cs="Calibri" w:eastAsia="Calibri" w:hAnsi="Calibri"/>
          <w:b w:val="false"/>
          <w:bCs w:val="false"/>
          <w:i w:val="false"/>
          <w:iCs w:val="false"/>
          <w:color w:val="1A1A1A"/>
          <w:sz w:val="21"/>
          <w:szCs w:val="21"/>
        </w:rPr>
        <w:t xml:space="preserve"> een direct "ja, wij halen het" zou het bestuur voorbarig comfort geven op basis van onvolledige data; een direct "nee, dit redden we niet" zou paniek en mogelijk een te vroeg uitstelverzoek veroorzaken zonder de herstelinspanning een kans te geven. Het gefaseerde antwoord kost het bestuur meer onzekerheid op korte termijn, maar geeft een eerlijker, beter onderbouwd beeld naarmate de tijd vordert.</w:t>
      </w:r>
    </w:p>
    <w:p>
      <w:pPr>
        <w:spacing w:after="160" w:line="300"/>
        <w:jc w:val="left"/>
      </w:pPr>
      <w:r>
        <w:rPr>
          <w:rFonts w:ascii="Calibri" w:cs="Calibri" w:eastAsia="Calibri" w:hAnsi="Calibri"/>
          <w:b w:val="false"/>
          <w:bCs w:val="false"/>
          <w:i/>
          <w:iCs/>
          <w:color w:val="1A1A1A"/>
          <w:sz w:val="21"/>
          <w:szCs w:val="21"/>
        </w:rPr>
        <w:t xml:space="preserve">Resultaat:</w:t>
      </w:r>
      <w:r>
        <w:rPr>
          <w:rFonts w:ascii="Calibri" w:cs="Calibri" w:eastAsia="Calibri" w:hAnsi="Calibri"/>
          <w:b w:val="false"/>
          <w:bCs w:val="false"/>
          <w:i w:val="false"/>
          <w:iCs w:val="false"/>
          <w:color w:val="1A1A1A"/>
          <w:sz w:val="21"/>
          <w:szCs w:val="21"/>
        </w:rPr>
        <w:t xml:space="preserve"> het bestuur accepteerde het gefaseerde plan; de eerste kwartaalmeting toonde weliswaar voortgang maar minder dan gehoopt — een moeilijk gesprek dat het gefaseerde model wél mogelijk maakte, waar een eenmalig ja/nee-antwoord dat gesprek niet had kunnen voeren.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Bestuurlijke architectuurcommunicatie vertaalt elk architectonisch feit naar de betekenis voor het bestuursbesluit, niet naar technische details.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Operationeel risico blijft bij het programma/de Board; bestuurlijk risico (aansprakelijkheid, reputatie, onomkeerbaarheid) gaat naar boven — met een advies, niet alleen een probleem.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gefaseerd, eerlijk antwoord met tussentijdse meetmomenten is vaak sterker dan een voorbarig ja/nee — het houdt het gesprek met het bestuur open in plaats van het te sluiten.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Experience Profiles op bestuursniveau volgen dezelfde structuur als elders, met het bestuur zelf als stakeholder en aansprakelijkheid als impliciete achtergrond.</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Bestuurlijk risico</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risico dat aansprakelijkheid, reputatie of een onomkeerbare keuze raakt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Gefaseerd zekerheidsplan</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een groeiend, onderbouwd antwoord in plaats van één voorbarige toezegging</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 Open CA Certification Guide, specialisatieprofiel Enterprise Architect (bestuurlijke competenties)</w:t>
      </w:r>
    </w:p>
    <w:p>
      <w:pPr>
        <w:spacing w:before="300"/>
      </w:pPr>
      <w:r>
        <w:rPr>
          <w:rFonts w:ascii="Calibri" w:cs="Calibri" w:eastAsia="Calibri" w:hAnsi="Calibri"/>
          <w:i/>
          <w:iCs/>
          <w:color w:val="6B7280"/>
          <w:sz w:val="20"/>
          <w:szCs w:val="20"/>
        </w:rPr>
        <w:t xml:space="preserve">Volgende deel: businessarchitectuur op strategieniveau — uw tweede BIZBOK-zwaartepuntdeel, en het moment om uw specialisatieprofiel (BA of EA) te kiezen.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24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2026-08-17T14:47:53.429Z</dcterms:created>
  <dcterms:modified xsi:type="dcterms:W3CDTF">2026-08-17T14:47:53.430Z</dcterms:modified>
</cp:coreProperties>
</file>

<file path=docProps/custom.xml><?xml version="1.0" encoding="utf-8"?>
<Properties xmlns="http://schemas.openxmlformats.org/officeDocument/2006/custom-properties" xmlns:vt="http://schemas.openxmlformats.org/officeDocument/2006/docPropsVTypes"/>
</file>