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BUSINESS &amp; ENTERPRISE ARCHITECTUUR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3 — Deel 26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Portfolio- en investeringsbeslissingen: verdedigbaar stoppen</w:t>
      </w:r>
    </w:p>
    <w:tbl>
      <w:tblPr>
        <w:tblW w:type="pct" w:w="100%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1F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line="29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Duur: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één dagdeel (4 uur incl. pauze)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Groepsgrootte: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8-16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Voorkennis: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deel 23-25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   ·  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4213D"/>
                <w:sz w:val="20"/>
                <w:szCs w:val="20"/>
              </w:rPr>
              <w:t xml:space="preserve">Materiaal: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4213D"/>
                <w:sz w:val="20"/>
                <w:szCs w:val="20"/>
              </w:rPr>
              <w:t xml:space="preserve">reader/werkboek/slidedeck deel 26, bijlage A en B, rolkaart "teamlead" (opdracht 3)</w:t>
            </w:r>
          </w:p>
        </w:tc>
      </w:tr>
    </w:tbl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Plaats van dit deel in het niveau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Dit deel introduceert een competentie die de hele cursus tot nu toe grotendeels vermeed: overtuigend adviseren om te stóppen. Niveau 1-2 gingen vooral over hoe iets goed te bouwen; dit deel gaat over hoe iets goed te beëindigen — een minstens zo architectonische vaardigheid, en een van de sterkste soorten Experience Profile voor het board (het huiswerk benoemt dat expliciet).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Dagdeelplanning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0:10–0:25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Casus: veertien initiatieven, één deadline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0:25–0:45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prioriteren zonder sunk cost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0:45–1:15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 — prioriteren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viertallen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1:15–1:30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1:30–1:50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de anatomie van verdedigbaar stoppen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1:50–2:20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 — het stopadvies schrijven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2:20–2:45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 — rollenspel het stopgesprek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2:45–3:05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Theorie: datakwaliteit voor invaren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3:05–3:30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 — datakwaliteit beoordelen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3:30–3:50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Verwerkingstijd huiswerk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begeleid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3:50–4:00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Samenvatting + vooruitblik deel 27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Didactische aanwijzingen per onderdeel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1c.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Dit is het scherpste leermoment: de sunk-cost-drang is intuïtief sterk, en de groep moet zelf voelen hoe verleidelijk "we zijn er bijna" is voordat de weerlegging landt.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3 — kern van het dagdeel.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Brief de teamlead-rolspeler om oprecht emotioneel betrokken te zijn (zes maanden werk) zonder over te theatraliseren. De architect-speler moet de spanning voelen tussen zakelijke helderheid en menselijke erkenning — precies de vaardigheid die het huiswerk gaat vastleggen.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Opdracht 4.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Bewaak dat "risico = percentage × impact" als expliciete formule op de flap komt — het is een herbruikbaar denkkader voor de rest van niveau 3.</w:t>
      </w:r>
    </w:p>
    <w:p>
      <w:r>
        <w:br w:type="page"/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Veelgestelde vragen en gevoeligheden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/>
          <w:iCs/>
          <w:color w:val="1A1A1A"/>
          <w:sz w:val="21"/>
          <w:szCs w:val="21"/>
        </w:rPr>
        <w:t xml:space="preserve">"Wat als het bestuur het stopadvies afwijst en toch doorgaat?"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Dat is hun recht en hun besluit (niveau 1, deel 1, §5.2); de architect heeft zijn taak gedaan door het advies helder en onderbouwd te geven.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Gevoeligheid: deelnemers met eigen ervaring van "gestopte" projecten kunnen dit dagdeel persoonlijk voelen — normaliseer dat expliciet, het is een veelvoorkomende, invoelbare ervaring in het vak.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Voorbereiding volgende bijeenkomst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Vijfde profiles vooraf laten inleveren; scan op eerlijkheid over de menselijke kant van het stoppen. Deel 27 (professionaliteit en ethiek) bouwt hierop voort met scenario's waarin integriteit en loyaliteit spanning met elkaar hebben.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Business &amp; Enterprise Architectuur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26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2026-08-17T14:47:55.066Z</dcterms:created>
  <dcterms:modified xsi:type="dcterms:W3CDTF">2026-08-17T14:47:55.067Z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