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27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40"/>
          <w:szCs w:val="40"/>
        </w:rPr>
        <w:t xml:space="preserve">Professionaliteit en ethiek: de architect zonder mandaat</w:t>
      </w:r>
    </w:p>
    <w:tbl>
      <w:tblPr>
        <w:tblW w:type="pct" w:w="100%"/>
        <w:tblBorders>
          <w:top w:val="single" w:color="2563A8" w:sz="4"/>
          <w:left w:val="single" w:color="2563A8" w:sz="24"/>
          <w:bottom w:val="single" w:color="2563A8" w:sz="4"/>
          <w:right w:val="single" w:color="2563A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7"/>
                <w:szCs w:val="17"/>
              </w:rPr>
              <w:t xml:space="preserve">POSITIONERING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Dit deel behandelt de meest onderschatte competentie van het vak: handelen met integriteit wanneer u geen formele macht heeft om uw standpunt af te dwingen — en wanneer loyaliteit aan de organisatie en eerlijkheid richting toezichthouders onder druk lijken te staan. Voor het Open CA-board is dit een expliciet beoordeeld competentiegebied.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Leerdoelen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dit deel kun je: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verschil tussen mandaat en invloed hanteren, en effectief opereren zonder formele doorzettingsmacht;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ethisch dilemma herkennen waarin loyaliteit aan de organisatie en integriteit richting een toezichthouder lijken te botsen, en het correct oplossen;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grens tussen "het optimistische scenario presenteren" en "misleidend rapporteren" scherp trekken;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Experience Profile schrijven over een moment van professionele integriteit onder druk.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1. Casus: het optimistische scenario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Twee maanden voor de deadline voor het transitieplan (dat naar DNB gaat) vraagt de programmadirecteur: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"Kunnen we in het plan het optimistische scenario voor de datakwaliteitsherstel gebruiken? Het pessimistische scenario laat ons kwetsbaar zien, en we hebben nog tijd om het op te lossen."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architectuurfunctie heeft geen formele macht om deze keuze tegen te houden — de programmadirecteur tekent het document, niet de architect.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 Mandaat versus invloed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Niveau 1 (deel 1, §5.2) leerde: de architect adviseert, de business beslist. Dat principe wordt hier op de proef gesteld — wat als het besluit dat genomen dreigt te worden, de grens van professionele integriteit nadert? De architect heeft geen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mandaat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om het besluit te blokkeren, maar heeft wel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invloed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de kwaliteit van het advies, de helderheid van de argumentatie, en — als laatste middel — het escaleren naar een hoger niveau (het bestuur, of het Architecture Board, niveau 2 deel 21) wanneer het risico dat groot is.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vaardigheid is drieledig: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eerst overtuigen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met een sterk, feitelijk advies;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dan escaleren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als overtuigen niet werkt en het risico dat rechtvaardigt;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nooit zwijgen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professionele integriteit staat niet toe dat een architect een advies intrekt omdat het ongemakkelijk is, ook zonder mandaat om het af te dwingen.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3. De grens: optimistisch presenteren versus misleiden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Niet elke vraag om een gunstiger scenario is onethisch. Het onderscheid: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Legitiem: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een scenario presenteren binnen een realistische bandbreedte, met de aannames expliciet benoemd — "bij het geplande hersteltempo verwachten wij X, mits Y doorgaat zoals gepland."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Grensoverschrijdend: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een scenario presenteren dat de bekende feiten verdraait of relevante onzekerheid verbergt — het optimistische scenario tonen zonder te vermelden dat het afhankelijk is van een aanname die op dit moment niet onderbouwd is.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de casus in §1: het optimistische scenario mág in het plan,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mits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aannames waarop het steunt expliciet en controleerbaar zijn opgenomen, inclusief wat er gebeurt als die aannames niet uitkomen. Wat niet mag: het optimistische scenario presenteren alsof het de verwachte uitkomst is, zonder de onzekerheid te benoemen die de architectuurfunctie zelf kent.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De toets die altijd werkt.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Zou u zich comfortabel voelen als DNB achteraf zou vragen: "wist u op het moment van indienen dat dit scenario onzeker was?" Als het antwoord nee zou zijn geweest omdat u het expliciet had benoemd, bent u aan de goede kant van de grens. Als het antwoord bevestigend zou zijn — u wist het, en het stond er niet — bent u eroverheen.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4. Escaleren zonder de relatie te breken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Wanneer overtuigen niet werkt en het risico groot genoeg is, blijft escaleren over — een stap die spanning met de directe opdrachtgever kan opleveren. De vorm die deze cursus door alle niveaus heen heeft getraind, is hier het instrument: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eerst het onderliggende punt erkennen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(de programmadirecteur wil het bestuur niet onnodig alarmeren — een legitiem motief),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dan het eigen standpunt helder houden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(de aanname moet benoemd worden, ongeacht de reden om dat te vermijden),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en het besluit uiteindelijk bij de juiste instantie leggen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hier: het Architecture Board of het bestuur zelf, niet de architect eenzijdig.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5. Samenvatting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Zonder mandaat blijft invloed over: overtuigen met een sterk advies, escaleren wanneer nodig, nooit zwijgen uit ongemak.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Optimistisch presenteren is legitiem zolang aannames expliciet en controleerbaar zijn; het wordt grensoverschrijdend zodra bekende onzekerheid verborgen blijft.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DNB-toets ("zou ik me comfortabel voelen als dit achteraf werd nagevraagd?") is een bruikbare, snelle ethische controle.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Escaleren gebeurt met erkenning van het onderliggende motief van de ander, een helder eigen standpunt, en het besluit bij de juiste, hogere instantie.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Begrippenlijst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Begrip</w:t>
            </w:r>
          </w:p>
        </w:tc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Omschrijving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Mandaat versus invloed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formele doorzettingsmacht versus overtuigingskracht en escalatiemogelijkheid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Grensoverschrijdend presenteren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bekende onzekerheid verbergen, in plaats van haar expliciet te benoemen</w:t>
            </w:r>
          </w:p>
        </w:tc>
      </w:tr>
    </w:tbl>
    <w:p>
      <w:pPr>
        <w:spacing w:before="200"/>
      </w:pP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Verder lezen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Open Group — Open CA Certification Guide, competentie "Professional and Ethical Conduct"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Volgende deel: casuïstiek-marathon I — zes situaties, schriftelijk verantwoorden onder tijdsdruk.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27 · Reader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2026-08-17T14:47:55.374Z</dcterms:created>
  <dcterms:modified xsi:type="dcterms:W3CDTF">2026-08-17T14:47:55.375Z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