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Calibri" w:cs="Calibri" w:eastAsia="Calibri" w:hAnsi="Calibri"/>
          <w:b/>
          <w:bCs/>
          <w:color w:val="2563A8"/>
          <w:sz w:val="20"/>
          <w:szCs w:val="20"/>
        </w:rPr>
        <w:t xml:space="preserve">BUSINESS &amp; ENTERPRISE ARCHITECTUUR</w:t>
      </w:r>
    </w:p>
    <w:p>
      <w:pPr>
        <w:spacing w:after="40"/>
      </w:pPr>
      <w:r>
        <w:rPr>
          <w:rFonts w:ascii="Calibri" w:cs="Calibri" w:eastAsia="Calibri" w:hAnsi="Calibri"/>
          <w:color w:val="6B7280"/>
          <w:sz w:val="22"/>
          <w:szCs w:val="22"/>
        </w:rPr>
        <w:t xml:space="preserve">Niveau 3 — Deel 29</w:t>
      </w:r>
    </w:p>
    <w:p>
      <w:pPr>
        <w:spacing w:after="300"/>
      </w:pPr>
      <w:r>
        <w:rPr>
          <w:rFonts w:ascii="Calibri" w:cs="Calibri" w:eastAsia="Calibri" w:hAnsi="Calibri"/>
          <w:b/>
          <w:bCs/>
          <w:color w:val="14213D"/>
          <w:sz w:val="32"/>
          <w:szCs w:val="32"/>
        </w:rPr>
        <w:t xml:space="preserve">Docentenhandleiding — Casuïstiek-marathon II: met registerwisseling</w:t>
      </w:r>
    </w:p>
    <w:tbl>
      <w:tblPr>
        <w:tblW w:type="pct" w:w="100%"/>
        <w:tblBorders>
          <w:top w:val="single" w:color="E9A13B" w:sz="4"/>
          <w:left w:val="single" w:color="E9A13B" w:sz="24"/>
          <w:bottom w:val="single" w:color="E9A13B" w:sz="4"/>
          <w:right w:val="single" w:color="E9A13B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1F6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80" w:line="290"/>
            </w:pPr>
            <w:r>
              <w:rPr>
                <w:rFonts w:ascii="Calibri" w:cs="Calibri" w:eastAsia="Calibri" w:hAnsi="Calibri"/>
                <w:b/>
                <w:bCs/>
                <w:i/>
                <w:iCs/>
                <w:color w:val="14213D"/>
                <w:sz w:val="20"/>
                <w:szCs w:val="20"/>
              </w:rPr>
              <w:t xml:space="preserve">Duur: 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14213D"/>
                <w:sz w:val="20"/>
                <w:szCs w:val="20"/>
              </w:rPr>
              <w:t xml:space="preserve">één dagdeel (4 uur incl. pauze)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14213D"/>
                <w:sz w:val="20"/>
                <w:szCs w:val="20"/>
              </w:rPr>
              <w:t xml:space="preserve">   ·   </w:t>
            </w:r>
            <w:r>
              <w:rPr>
                <w:rFonts w:ascii="Calibri" w:cs="Calibri" w:eastAsia="Calibri" w:hAnsi="Calibri"/>
                <w:b/>
                <w:bCs/>
                <w:i/>
                <w:iCs/>
                <w:color w:val="14213D"/>
                <w:sz w:val="20"/>
                <w:szCs w:val="20"/>
              </w:rPr>
              <w:t xml:space="preserve">Groepsgrootte: 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14213D"/>
                <w:sz w:val="20"/>
                <w:szCs w:val="20"/>
              </w:rPr>
              <w:t xml:space="preserve">8-16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14213D"/>
                <w:sz w:val="20"/>
                <w:szCs w:val="20"/>
              </w:rPr>
              <w:t xml:space="preserve">   ·   </w:t>
            </w:r>
            <w:r>
              <w:rPr>
                <w:rFonts w:ascii="Calibri" w:cs="Calibri" w:eastAsia="Calibri" w:hAnsi="Calibri"/>
                <w:b/>
                <w:bCs/>
                <w:i/>
                <w:iCs/>
                <w:color w:val="14213D"/>
                <w:sz w:val="20"/>
                <w:szCs w:val="20"/>
              </w:rPr>
              <w:t xml:space="preserve">Voorkennis: 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14213D"/>
                <w:sz w:val="20"/>
                <w:szCs w:val="20"/>
              </w:rPr>
              <w:t xml:space="preserve">deel 23-28, volledig evidence-portfolio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14213D"/>
                <w:sz w:val="20"/>
                <w:szCs w:val="20"/>
              </w:rPr>
              <w:t xml:space="preserve">   ·   </w:t>
            </w:r>
            <w:r>
              <w:rPr>
                <w:rFonts w:ascii="Calibri" w:cs="Calibri" w:eastAsia="Calibri" w:hAnsi="Calibri"/>
                <w:b/>
                <w:bCs/>
                <w:i/>
                <w:iCs/>
                <w:color w:val="14213D"/>
                <w:sz w:val="20"/>
                <w:szCs w:val="20"/>
              </w:rPr>
              <w:t xml:space="preserve">Materiaal: 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14213D"/>
                <w:sz w:val="20"/>
                <w:szCs w:val="20"/>
              </w:rPr>
              <w:t xml:space="preserve">reader/werkboek/slidedeck deel 29, zichtbare klok/timer, zes situatiekaarten (docent bereidt uit, zie deel 28-handleiding als sjabloon)</w:t>
            </w:r>
          </w:p>
        </w:tc>
      </w:tr>
    </w:tbl>
    <w:p>
      <w:pPr>
        <w:pStyle w:val="Heading2"/>
        <w:pBdr>
          <w:bottom w:val="single" w:color="2563A8" w:sz="6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Plaats van dit deel in het niveau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Zwaardere herhaling van deel 28: dezelfde intensiteit, plus de registerwisseling. Kondig bij de opening expliciet aan dat dit dagdeel zwaarder is — vijftien in plaats van twaalf minuten per situatie, met dubbel schrijfwerk. Dit is ook het laatste inhoudelijke dagdeel vóór de masterproef: het evidence-portfolio wordt vandaag afgerond.</w:t>
      </w:r>
    </w:p>
    <w:p>
      <w:pPr>
        <w:pStyle w:val="Heading2"/>
        <w:pBdr>
          <w:bottom w:val="single" w:color="2563A8" w:sz="6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Dagdeelplanning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dxa" w:w="3000"/>
            <w:shd w:fill="14213D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Tijd</w:t>
            </w:r>
          </w:p>
        </w:tc>
        <w:tc>
          <w:tcPr>
            <w:tcW w:type="dxa" w:w="3000"/>
            <w:shd w:fill="14213D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Onderdeel</w:t>
            </w:r>
          </w:p>
        </w:tc>
        <w:tc>
          <w:tcPr>
            <w:tcW w:type="dxa" w:w="3000"/>
            <w:shd w:fill="14213D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Werkvorm</w:t>
            </w:r>
          </w:p>
        </w:tc>
      </w:tr>
      <w:tr>
        <w:tc>
          <w:tcPr>
            <w:tcW w:type="dxa" w:w="3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0:00–0:10</w:t>
            </w:r>
          </w:p>
        </w:tc>
        <w:tc>
          <w:tcPr>
            <w:tcW w:type="dxa" w:w="3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Opdracht 0</w:t>
            </w:r>
          </w:p>
        </w:tc>
        <w:tc>
          <w:tcPr>
            <w:tcW w:type="dxa" w:w="3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tweetallen</w:t>
            </w:r>
          </w:p>
        </w:tc>
      </w:tr>
      <w:tr>
        <w:tc>
          <w:tcPr>
            <w:tcW w:type="dxa" w:w="300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0:10–0:20</w:t>
            </w:r>
          </w:p>
        </w:tc>
        <w:tc>
          <w:tcPr>
            <w:tcW w:type="dxa" w:w="300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Uitleg format + de vaste regel (register ≠ feiten)</w:t>
            </w:r>
          </w:p>
        </w:tc>
        <w:tc>
          <w:tcPr>
            <w:tcW w:type="dxa" w:w="300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plenair</w:t>
            </w:r>
          </w:p>
        </w:tc>
      </w:tr>
      <w:tr>
        <w:tc>
          <w:tcPr>
            <w:tcW w:type="dxa" w:w="3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0:20–0:35</w:t>
            </w:r>
          </w:p>
        </w:tc>
        <w:tc>
          <w:tcPr>
            <w:tcW w:type="dxa" w:w="3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Situatie 1</w:t>
            </w:r>
          </w:p>
        </w:tc>
        <w:tc>
          <w:tcPr>
            <w:tcW w:type="dxa" w:w="3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individueel + peer review</w:t>
            </w:r>
          </w:p>
        </w:tc>
      </w:tr>
      <w:tr>
        <w:tc>
          <w:tcPr>
            <w:tcW w:type="dxa" w:w="300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0:35–0:50</w:t>
            </w:r>
          </w:p>
        </w:tc>
        <w:tc>
          <w:tcPr>
            <w:tcW w:type="dxa" w:w="300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Situatie 2</w:t>
            </w:r>
          </w:p>
        </w:tc>
        <w:tc>
          <w:tcPr>
            <w:tcW w:type="dxa" w:w="300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individueel + peer review</w:t>
            </w:r>
          </w:p>
        </w:tc>
      </w:tr>
      <w:tr>
        <w:tc>
          <w:tcPr>
            <w:tcW w:type="dxa" w:w="3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0:50–1:05</w:t>
            </w:r>
          </w:p>
        </w:tc>
        <w:tc>
          <w:tcPr>
            <w:tcW w:type="dxa" w:w="3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Situatie 3</w:t>
            </w:r>
          </w:p>
        </w:tc>
        <w:tc>
          <w:tcPr>
            <w:tcW w:type="dxa" w:w="3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individueel + peer review</w:t>
            </w:r>
          </w:p>
        </w:tc>
      </w:tr>
      <w:tr>
        <w:tc>
          <w:tcPr>
            <w:tcW w:type="dxa" w:w="300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1:05–1:20</w:t>
            </w:r>
          </w:p>
        </w:tc>
        <w:tc>
          <w:tcPr>
            <w:tcW w:type="dxa" w:w="300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Pauze</w:t>
            </w:r>
          </w:p>
        </w:tc>
        <w:tc>
          <w:tcPr>
            <w:tcW w:type="dxa" w:w="300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1:20–1:35</w:t>
            </w:r>
          </w:p>
        </w:tc>
        <w:tc>
          <w:tcPr>
            <w:tcW w:type="dxa" w:w="3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Situatie 4</w:t>
            </w:r>
          </w:p>
        </w:tc>
        <w:tc>
          <w:tcPr>
            <w:tcW w:type="dxa" w:w="3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individueel + peer review</w:t>
            </w:r>
          </w:p>
        </w:tc>
      </w:tr>
      <w:tr>
        <w:tc>
          <w:tcPr>
            <w:tcW w:type="dxa" w:w="300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1:35–1:50</w:t>
            </w:r>
          </w:p>
        </w:tc>
        <w:tc>
          <w:tcPr>
            <w:tcW w:type="dxa" w:w="300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Situatie 5</w:t>
            </w:r>
          </w:p>
        </w:tc>
        <w:tc>
          <w:tcPr>
            <w:tcW w:type="dxa" w:w="300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individueel + peer review</w:t>
            </w:r>
          </w:p>
        </w:tc>
      </w:tr>
      <w:tr>
        <w:tc>
          <w:tcPr>
            <w:tcW w:type="dxa" w:w="3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1:50–2:05</w:t>
            </w:r>
          </w:p>
        </w:tc>
        <w:tc>
          <w:tcPr>
            <w:tcW w:type="dxa" w:w="3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Situatie 6</w:t>
            </w:r>
          </w:p>
        </w:tc>
        <w:tc>
          <w:tcPr>
            <w:tcW w:type="dxa" w:w="3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individueel + peer review</w:t>
            </w:r>
          </w:p>
        </w:tc>
      </w:tr>
      <w:tr>
        <w:tc>
          <w:tcPr>
            <w:tcW w:type="dxa" w:w="300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2:05–2:20</w:t>
            </w:r>
          </w:p>
        </w:tc>
        <w:tc>
          <w:tcPr>
            <w:tcW w:type="dxa" w:w="300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Korte pauze</w:t>
            </w:r>
          </w:p>
        </w:tc>
        <w:tc>
          <w:tcPr>
            <w:tcW w:type="dxa" w:w="300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2:20–2:35</w:t>
            </w:r>
          </w:p>
        </w:tc>
        <w:tc>
          <w:tcPr>
            <w:tcW w:type="dxa" w:w="3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Opdracht 1 — reflectie</w:t>
            </w:r>
          </w:p>
        </w:tc>
        <w:tc>
          <w:tcPr>
            <w:tcW w:type="dxa" w:w="3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individueel</w:t>
            </w:r>
          </w:p>
        </w:tc>
      </w:tr>
      <w:tr>
        <w:tc>
          <w:tcPr>
            <w:tcW w:type="dxa" w:w="300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2:35–3:05</w:t>
            </w:r>
          </w:p>
        </w:tc>
        <w:tc>
          <w:tcPr>
            <w:tcW w:type="dxa" w:w="300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Opdracht 2 — evidence-portfolio afronden</w:t>
            </w:r>
          </w:p>
        </w:tc>
        <w:tc>
          <w:tcPr>
            <w:tcW w:type="dxa" w:w="300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individueel</w:t>
            </w:r>
          </w:p>
        </w:tc>
      </w:tr>
      <w:tr>
        <w:tc>
          <w:tcPr>
            <w:tcW w:type="dxa" w:w="3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3:05–3:50</w:t>
            </w:r>
          </w:p>
        </w:tc>
        <w:tc>
          <w:tcPr>
            <w:tcW w:type="dxa" w:w="3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Verwerkingstijd huiswerk + individuele check-in per deelnemer</w:t>
            </w:r>
          </w:p>
        </w:tc>
        <w:tc>
          <w:tcPr>
            <w:tcW w:type="dxa" w:w="3000"/>
            <w:shd w:fill="FFFFFF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individueel, begeleid</w:t>
            </w:r>
          </w:p>
        </w:tc>
      </w:tr>
      <w:tr>
        <w:tc>
          <w:tcPr>
            <w:tcW w:type="dxa" w:w="300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3:50–4:00</w:t>
            </w:r>
          </w:p>
        </w:tc>
        <w:tc>
          <w:tcPr>
            <w:tcW w:type="dxa" w:w="300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Samenvatting + vooruitblik masterproef</w:t>
            </w:r>
          </w:p>
        </w:tc>
        <w:tc>
          <w:tcPr>
            <w:tcW w:type="dxa" w:w="3000"/>
            <w:shd w:fill="EEF1F6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plenair</w:t>
            </w:r>
          </w:p>
        </w:tc>
      </w:tr>
    </w:tbl>
    <w:p>
      <w:pPr>
        <w:spacing w:before="200"/>
      </w:pPr>
    </w:p>
    <w:p>
      <w:r>
        <w:br w:type="page"/>
      </w:r>
    </w:p>
    <w:p>
      <w:pPr>
        <w:pStyle w:val="Heading2"/>
        <w:pBdr>
          <w:bottom w:val="single" w:color="2563A8" w:sz="6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Didactische aanwijzingen per onderdeel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Theorie: de vaste regel.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Herhaal expliciet de deel 27-koppeling: dit is dezelfde ethische grens, nu toegepast op twee gelijktijdige publieken in plaats van één. Het voorbeeld uit de reader (§2) hardop doornemen vóór de marathon begint.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De marathon.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Zwaarder tempo dan deel 28 — bewaak vermoeidheid extra goed; de korte pauze na situatie 3 en de langere na situatie 6 zijn niet optioneel.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Opdracht 2 — belangrijk overgangsmoment.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De selectie van vijf uit zeven profiles is zelf een architectonische oefening (prioriteren, deel 26) — benoem die parallel expliciet. Overweeg een korte individuele check-in per deelnemer tijdens de verwerkingstijd om te toetsen of de portfolio-selectie de gekozen specialisatie (deel 25) daadwerkelijk goed vertegenwoordigt.</w:t>
      </w:r>
    </w:p>
    <w:p>
      <w:r>
        <w:br w:type="page"/>
      </w:r>
    </w:p>
    <w:p>
      <w:pPr>
        <w:pStyle w:val="Heading2"/>
        <w:pBdr>
          <w:bottom w:val="single" w:color="2563A8" w:sz="6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Veelgestelde vragen en gevoeligheden</w:t>
      </w:r>
    </w:p>
    <w:p>
      <w:pPr>
        <w:pStyle w:val="ListParagraph"/>
        <w:numPr>
          <w:ilvl w:val="0"/>
          <w:numId w:val="1"/>
        </w:numPr>
        <w:spacing w:after="100" w:line="290"/>
      </w:pPr>
      <w:r>
        <w:rPr>
          <w:rFonts w:ascii="Calibri" w:cs="Calibri" w:eastAsia="Calibri" w:hAnsi="Calibri"/>
          <w:b w:val="false"/>
          <w:bCs w:val="false"/>
          <w:i/>
          <w:iCs/>
          <w:color w:val="1A1A1A"/>
          <w:sz w:val="21"/>
          <w:szCs w:val="21"/>
        </w:rPr>
        <w:t xml:space="preserve">"Moet ik voor elke situatie echt aan DNB én AFM denken, of één toezichthouder kiezen?"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— Kies per situatie de meest relevante toezichthouder (DNB voor financiële/data-aspecten, AFM voor communicatie/gedrag) — niet allebei tegelijk, dat zou de oefening onnodig verzwaren.</w:t>
      </w:r>
    </w:p>
    <w:p>
      <w:pPr>
        <w:pStyle w:val="Heading2"/>
        <w:pBdr>
          <w:bottom w:val="single" w:color="2563A8" w:sz="6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2563A8"/>
          <w:sz w:val="24"/>
          <w:szCs w:val="24"/>
        </w:rPr>
        <w:t xml:space="preserve">Voorbereiding volgende bijeenkomst</w:t>
      </w:r>
    </w:p>
    <w:p>
      <w:pPr>
        <w:spacing w:after="160" w:line="3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Definitieve portfolio's (opdracht 3) vooraf verzamelen — dit is het materiaal waarop de masterproef (deel 30, twee dagdelen) draait. Bereid de boardsimulatie voor: vier rollen (bestuur, DNB, AFM, programmadirecteur), deels vooraf te delen vragen, deels onvoorzien. Reserveer voldoende tijd — dit is het zwaarste, langste onderdeel van de hele cursus.</w:t>
      </w:r>
    </w:p>
    <w:sectPr>
      <w:headerReference w:type="default" r:id="rId7"/>
      <w:footerReference w:type="default" r:id="rId8"/>
      <w:pgSz w:w="11906" w:h="16838" w:orient="portrait"/>
      <w:pgMar w:top="1100" w:right="1100" w:bottom="11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6B7280"/>
        <w:sz w:val="15"/>
        <w:szCs w:val="15"/>
      </w:rPr>
      <w:t xml:space="preserve">Business &amp; Enterprise Architectuur — </w:t>
    </w:r>
    <w:r>
      <w:rPr>
        <w:rFonts w:ascii="Calibri" w:cs="Calibri" w:eastAsia="Calibri" w:hAnsi="Calibri"/>
        <w:color w:val="6B7280"/>
        <w:sz w:val="15"/>
        <w:szCs w:val="15"/>
      </w:rPr>
      <w:t xml:space="preserve">pagina </w:t>
    </w:r>
    <w:r>
      <w:rPr>
        <w:rFonts w:ascii="Calibri" w:cs="Calibri" w:eastAsia="Calibri" w:hAnsi="Calibri"/>
        <w:color w:val="6B7280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6B7280"/>
        <w:sz w:val="16"/>
        <w:szCs w:val="16"/>
      </w:rPr>
      <w:t xml:space="preserve">Deel 29 · Docentenhandleiding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2026-08-17T14:47:57.294Z</dcterms:created>
  <dcterms:modified xsi:type="dcterms:W3CDTF">2026-08-17T14:47:57.295Z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