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BUSINESS &amp; ENTERPRISE ARCHITECTUUR</w:t>
      </w:r>
    </w:p>
    <w:p>
      <w:pPr>
        <w:spacing w:after="40"/>
      </w:pPr>
      <w:r>
        <w:rPr>
          <w:rFonts w:ascii="Calibri" w:cs="Calibri" w:eastAsia="Calibri" w:hAnsi="Calibri"/>
          <w:color w:val="6B7280"/>
          <w:sz w:val="22"/>
          <w:szCs w:val="22"/>
        </w:rPr>
        <w:t xml:space="preserve">Niveau 3 — Deel 29</w:t>
      </w:r>
    </w:p>
    <w:p>
      <w:pPr>
        <w:spacing w:after="300"/>
      </w:pPr>
      <w:r>
        <w:rPr>
          <w:rFonts w:ascii="Calibri" w:cs="Calibri" w:eastAsia="Calibri" w:hAnsi="Calibri"/>
          <w:b/>
          <w:bCs/>
          <w:color w:val="14213D"/>
          <w:sz w:val="34"/>
          <w:szCs w:val="34"/>
        </w:rPr>
        <w:t xml:space="preserve">Werkboek — Casuïstiek-marathon II: met registerwisseling</w:t>
      </w:r>
    </w:p>
    <w:p>
      <w:pPr>
        <w:spacing w:after="160" w:line="300"/>
        <w:jc w:val="left"/>
      </w:pPr>
      <w:r>
        <w:rPr>
          <w:rFonts w:ascii="Calibri" w:cs="Calibri" w:eastAsia="Calibri" w:hAnsi="Calibri"/>
          <w:b w:val="false"/>
          <w:bCs w:val="false"/>
          <w:i w:val="false"/>
          <w:iCs w:val="false"/>
          <w:color w:val="1A1A1A"/>
          <w:sz w:val="21"/>
          <w:szCs w:val="21"/>
        </w:rPr>
        <w:t xml:space="preserve">Vandaag zes situaties, elk vijftien minuten, elk in twee registers. Zwaarder dan deel 28 — kondig dat bij uzelf aan.</w:t>
      </w:r>
    </w:p>
    <w:p>
      <w:pPr>
        <w:spacing w:after="160" w:line="300"/>
        <w:jc w:val="left"/>
      </w:pPr>
      <w:r>
        <w:rPr>
          <w:rFonts w:ascii="Calibri" w:cs="Calibri" w:eastAsia="Calibri" w:hAnsi="Calibri"/>
          <w:b w:val="false"/>
          <w:bCs w:val="false"/>
          <w:i w:val="false"/>
          <w:iCs w:val="false"/>
          <w:color w:val="1A1A1A"/>
          <w:sz w:val="21"/>
          <w:szCs w:val="21"/>
        </w:rPr>
        <w:t xml:space="preserve">Benodigd: reader deel 29, klok/timer, evidence-portfolio.</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0 — Peer feedback Experience Profile #7 (10 min, tweetallen)</w:t>
      </w:r>
    </w:p>
    <w:p>
      <w:pPr>
        <w:spacing w:after="160" w:line="300"/>
        <w:jc w:val="left"/>
      </w:pPr>
      <w:r>
        <w:rPr>
          <w:rFonts w:ascii="Calibri" w:cs="Calibri" w:eastAsia="Calibri" w:hAnsi="Calibri"/>
          <w:b w:val="false"/>
          <w:bCs w:val="false"/>
          <w:i w:val="false"/>
          <w:iCs w:val="false"/>
          <w:color w:val="1A1A1A"/>
          <w:sz w:val="21"/>
          <w:szCs w:val="21"/>
        </w:rPr>
        <w:t xml:space="preserve">Wissel uit. Schriftelijk: </w:t>
      </w:r>
      <w:r>
        <w:rPr>
          <w:rFonts w:ascii="Calibri" w:cs="Calibri" w:eastAsia="Calibri" w:hAnsi="Calibri"/>
          <w:b/>
          <w:bCs/>
          <w:i w:val="false"/>
          <w:iCs w:val="false"/>
          <w:color w:val="1A1A1A"/>
          <w:sz w:val="21"/>
          <w:szCs w:val="21"/>
        </w:rPr>
        <w:t xml:space="preserve">"Is de zwakte uit de marathon (deel 28) hier echt verholpen, of alleen taalkundig gladder gemaakt?"</w:t>
      </w:r>
    </w:p>
    <w:p>
      <w:pPr>
        <w:pStyle w:val="Heading2"/>
        <w:pBdr>
          <w:bottom w:val="single" w:color="2563A8" w:sz="6" w:space="4"/>
        </w:pBdr>
        <w:spacing w:after="160" w:before="300"/>
      </w:pPr>
      <w:r>
        <w:rPr>
          <w:rFonts w:ascii="Calibri" w:cs="Calibri" w:eastAsia="Calibri" w:hAnsi="Calibri"/>
          <w:b/>
          <w:bCs/>
          <w:color w:val="2563A8"/>
          <w:sz w:val="24"/>
          <w:szCs w:val="24"/>
        </w:rPr>
        <w:t xml:space="preserve">De marathon: zes situaties (15 min elk = 90 min totaal)</w:t>
      </w:r>
    </w:p>
    <w:p>
      <w:pPr>
        <w:spacing w:after="160" w:line="300"/>
        <w:jc w:val="left"/>
      </w:pPr>
      <w:r>
        <w:rPr>
          <w:rFonts w:ascii="Calibri" w:cs="Calibri" w:eastAsia="Calibri" w:hAnsi="Calibri"/>
          <w:b w:val="false"/>
          <w:bCs w:val="false"/>
          <w:i w:val="false"/>
          <w:iCs w:val="false"/>
          <w:color w:val="1A1A1A"/>
          <w:sz w:val="21"/>
          <w:szCs w:val="21"/>
        </w:rPr>
        <w:t xml:space="preserve">Voor elke situatie: 10 minuten schrijven (bestuursregister ~120 woorden + toezichthoudersregister ~120 woorden), 3 minuten zelfcontrole (zijn de onderliggende feiten identiek?), 2 minuten peer review (rouleer partners).</w:t>
      </w:r>
    </w:p>
    <w:p>
      <w:pPr>
        <w:spacing w:after="160" w:line="300"/>
        <w:jc w:val="left"/>
      </w:pPr>
      <w:r>
        <w:rPr>
          <w:rFonts w:ascii="Calibri" w:cs="Calibri" w:eastAsia="Calibri" w:hAnsi="Calibri"/>
          <w:b/>
          <w:bCs/>
          <w:i w:val="false"/>
          <w:iCs w:val="false"/>
          <w:color w:val="1A1A1A"/>
          <w:sz w:val="21"/>
          <w:szCs w:val="21"/>
        </w:rPr>
        <w:t xml:space="preserve">Situatie 1:</w:t>
      </w:r>
      <w:r>
        <w:rPr>
          <w:rFonts w:ascii="Calibri" w:cs="Calibri" w:eastAsia="Calibri" w:hAnsi="Calibri"/>
          <w:b w:val="false"/>
          <w:bCs w:val="false"/>
          <w:i w:val="false"/>
          <w:iCs w:val="false"/>
          <w:color w:val="1A1A1A"/>
          <w:sz w:val="21"/>
          <w:szCs w:val="21"/>
        </w:rPr>
        <w:t xml:space="preserve"> het datakwaliteitspercentage uit deel 26 moet gerapporteerd worden — aan het bestuur én in het transitieplan voor DNB.</w:t>
      </w:r>
    </w:p>
    <w:p>
      <w:pPr>
        <w:spacing w:after="160" w:line="300"/>
        <w:jc w:val="left"/>
      </w:pPr>
      <w:r>
        <w:rPr>
          <w:rFonts w:ascii="Calibri" w:cs="Calibri" w:eastAsia="Calibri" w:hAnsi="Calibri"/>
          <w:b/>
          <w:bCs/>
          <w:i w:val="false"/>
          <w:iCs w:val="false"/>
          <w:color w:val="1A1A1A"/>
          <w:sz w:val="21"/>
          <w:szCs w:val="21"/>
        </w:rPr>
        <w:t xml:space="preserve">Situatie 2:</w:t>
      </w:r>
      <w:r>
        <w:rPr>
          <w:rFonts w:ascii="Calibri" w:cs="Calibri" w:eastAsia="Calibri" w:hAnsi="Calibri"/>
          <w:b w:val="false"/>
          <w:bCs w:val="false"/>
          <w:i w:val="false"/>
          <w:iCs w:val="false"/>
          <w:color w:val="1A1A1A"/>
          <w:sz w:val="21"/>
          <w:szCs w:val="21"/>
        </w:rPr>
        <w:t xml:space="preserve"> een stopbeslissing (deel 26) moet toegelicht worden — aan het bestuur én, indien relevant, in het implementatieplan.</w:t>
      </w:r>
    </w:p>
    <w:p>
      <w:pPr>
        <w:spacing w:after="160" w:line="300"/>
        <w:jc w:val="left"/>
      </w:pPr>
      <w:r>
        <w:rPr>
          <w:rFonts w:ascii="Calibri" w:cs="Calibri" w:eastAsia="Calibri" w:hAnsi="Calibri"/>
          <w:b/>
          <w:bCs/>
          <w:i w:val="false"/>
          <w:iCs w:val="false"/>
          <w:color w:val="1A1A1A"/>
          <w:sz w:val="21"/>
          <w:szCs w:val="21"/>
        </w:rPr>
        <w:t xml:space="preserve">Situatie 3:</w:t>
      </w:r>
      <w:r>
        <w:rPr>
          <w:rFonts w:ascii="Calibri" w:cs="Calibri" w:eastAsia="Calibri" w:hAnsi="Calibri"/>
          <w:b w:val="false"/>
          <w:bCs w:val="false"/>
          <w:i w:val="false"/>
          <w:iCs w:val="false"/>
          <w:color w:val="1A1A1A"/>
          <w:sz w:val="21"/>
          <w:szCs w:val="21"/>
        </w:rPr>
        <w:t xml:space="preserve"> een leveranciersvertraging (zoals in deel 28, situatie 3) moet gemeld worden — intern én extern.</w:t>
      </w:r>
    </w:p>
    <w:p>
      <w:pPr>
        <w:spacing w:after="160" w:line="300"/>
        <w:jc w:val="left"/>
      </w:pPr>
      <w:r>
        <w:rPr>
          <w:rFonts w:ascii="Calibri" w:cs="Calibri" w:eastAsia="Calibri" w:hAnsi="Calibri"/>
          <w:b/>
          <w:bCs/>
          <w:i w:val="false"/>
          <w:iCs w:val="false"/>
          <w:color w:val="1A1A1A"/>
          <w:sz w:val="21"/>
          <w:szCs w:val="21"/>
        </w:rPr>
        <w:t xml:space="preserve">Situatie 4:</w:t>
      </w:r>
      <w:r>
        <w:rPr>
          <w:rFonts w:ascii="Calibri" w:cs="Calibri" w:eastAsia="Calibri" w:hAnsi="Calibri"/>
          <w:b w:val="false"/>
          <w:bCs w:val="false"/>
          <w:i w:val="false"/>
          <w:iCs w:val="false"/>
          <w:color w:val="1A1A1A"/>
          <w:sz w:val="21"/>
          <w:szCs w:val="21"/>
        </w:rPr>
        <w:t xml:space="preserve"> een nieuw ontdekt risico (twee weken voor indiening, zoals deel 28 situatie 6) — hoe meldt u het aan het bestuur, en hoe verwerkt u het in het compliance-document?</w:t>
      </w:r>
    </w:p>
    <w:p>
      <w:pPr>
        <w:spacing w:after="160" w:line="300"/>
        <w:jc w:val="left"/>
      </w:pPr>
      <w:r>
        <w:rPr>
          <w:rFonts w:ascii="Calibri" w:cs="Calibri" w:eastAsia="Calibri" w:hAnsi="Calibri"/>
          <w:b/>
          <w:bCs/>
          <w:i w:val="false"/>
          <w:iCs w:val="false"/>
          <w:color w:val="1A1A1A"/>
          <w:sz w:val="21"/>
          <w:szCs w:val="21"/>
        </w:rPr>
        <w:t xml:space="preserve">Situatie 5:</w:t>
      </w:r>
      <w:r>
        <w:rPr>
          <w:rFonts w:ascii="Calibri" w:cs="Calibri" w:eastAsia="Calibri" w:hAnsi="Calibri"/>
          <w:b w:val="false"/>
          <w:bCs w:val="false"/>
          <w:i w:val="false"/>
          <w:iCs w:val="false"/>
          <w:color w:val="1A1A1A"/>
          <w:sz w:val="21"/>
          <w:szCs w:val="21"/>
        </w:rPr>
        <w:t xml:space="preserve"> een succesvol hersteld datakwaliteitsonderdeel — hoe rapporteert u een positieve uitkomst eerlijk in beide registers, zonder over te drijven naar de toezichthouder of te bescheiden te zijn richting het bestuur?</w:t>
      </w:r>
    </w:p>
    <w:p>
      <w:pPr>
        <w:spacing w:after="160" w:line="300"/>
        <w:jc w:val="left"/>
      </w:pPr>
      <w:r>
        <w:rPr>
          <w:rFonts w:ascii="Calibri" w:cs="Calibri" w:eastAsia="Calibri" w:hAnsi="Calibri"/>
          <w:b/>
          <w:bCs/>
          <w:i w:val="false"/>
          <w:iCs w:val="false"/>
          <w:color w:val="1A1A1A"/>
          <w:sz w:val="21"/>
          <w:szCs w:val="21"/>
        </w:rPr>
        <w:t xml:space="preserve">Situatie 6:</w:t>
      </w:r>
      <w:r>
        <w:rPr>
          <w:rFonts w:ascii="Calibri" w:cs="Calibri" w:eastAsia="Calibri" w:hAnsi="Calibri"/>
          <w:b w:val="false"/>
          <w:bCs w:val="false"/>
          <w:i w:val="false"/>
          <w:iCs w:val="false"/>
          <w:color w:val="1A1A1A"/>
          <w:sz w:val="21"/>
          <w:szCs w:val="21"/>
        </w:rPr>
        <w:t xml:space="preserve"> een organisatorische wijziging (reorganisatie, deel 28 situatie 2) die ook personeelsimplicaties voor het compliance-team heeft.</w:t>
      </w:r>
    </w:p>
    <w:p>
      <w:pPr>
        <w:spacing w:before="300"/>
      </w:pPr>
      <w:r>
        <w:rPr>
          <w:rFonts w:ascii="Calibri" w:cs="Calibri" w:eastAsia="Calibri" w:hAnsi="Calibri"/>
          <w:i/>
          <w:iCs/>
          <w:color w:val="6B7280"/>
          <w:sz w:val="20"/>
          <w:szCs w:val="20"/>
        </w:rPr>
        <w:t xml:space="preserve">(Docent verstrekt aanvullende details per situatie tijdens de sessie.)</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1 — Reflectie: waar verschilden de registers het meest? (15 min, individueel)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Bij welke situatie was het onderscheid tussen bestuurs- en toezichthoudersregister het grootst qua vorm, terwijl de feiten hetzelfde bleven?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Bij welke situatie voelde u de verleiding om de feiten zelf te laten verschuiven (ook al deed u het niet)?</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wat hield u tegen bij b — welk principe of welke toets paste u toe?</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Opdracht 2 — Evidence-portfolio afronden (30 min, individueel)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a. </w:t>
      </w:r>
      <w:r>
        <w:rPr>
          <w:rFonts w:ascii="Calibri" w:cs="Calibri" w:eastAsia="Calibri" w:hAnsi="Calibri"/>
          <w:b w:val="false"/>
          <w:bCs w:val="false"/>
          <w:i w:val="false"/>
          <w:iCs w:val="false"/>
          <w:color w:val="1A1A1A"/>
          <w:sz w:val="21"/>
          <w:szCs w:val="21"/>
        </w:rPr>
        <w:t xml:space="preserve">Leg al uw Experience Profiles (nu zeven) naast elkaar. Kies de vijf sterkste voor uw definitieve portfolio richting de masterproef.</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b. </w:t>
      </w:r>
      <w:r>
        <w:rPr>
          <w:rFonts w:ascii="Calibri" w:cs="Calibri" w:eastAsia="Calibri" w:hAnsi="Calibri"/>
          <w:b w:val="false"/>
          <w:bCs w:val="false"/>
          <w:i w:val="false"/>
          <w:iCs w:val="false"/>
          <w:color w:val="1A1A1A"/>
          <w:sz w:val="21"/>
          <w:szCs w:val="21"/>
        </w:rPr>
        <w:t xml:space="preserve">Schrijf een korte inleiding (max. één A4) die uw specialisatiekeuze (deel 25) en de vijf gekozen profiles in samenhang introduceert.</w:t>
      </w:r>
    </w:p>
    <w:p>
      <w:pPr>
        <w:pStyle w:val="Heading2"/>
        <w:pBdr>
          <w:bottom w:val="single" w:color="2563A8" w:sz="6" w:space="4"/>
        </w:pBdr>
        <w:spacing w:after="160" w:before="300"/>
      </w:pPr>
      <w:r>
        <w:rPr>
          <w:rFonts w:ascii="Calibri" w:cs="Calibri" w:eastAsia="Calibri" w:hAnsi="Calibri"/>
          <w:b/>
          <w:bCs/>
          <w:color w:val="2563A8"/>
          <w:sz w:val="24"/>
          <w:szCs w:val="24"/>
        </w:rPr>
        <w:t xml:space="preserve">Opdracht 3 — Huiswerk: portfolio inleveren + voorbereiding masterproef (schriftelijk, inleveren vóór deel 30)</w:t>
      </w:r>
    </w:p>
    <w:p>
      <w:pPr>
        <w:spacing w:after="160" w:line="300"/>
        <w:jc w:val="left"/>
      </w:pPr>
      <w:r>
        <w:rPr>
          <w:rFonts w:ascii="Calibri" w:cs="Calibri" w:eastAsia="Calibri" w:hAnsi="Calibri"/>
          <w:b w:val="false"/>
          <w:bCs w:val="false"/>
          <w:i w:val="false"/>
          <w:iCs w:val="false"/>
          <w:color w:val="1A1A1A"/>
          <w:sz w:val="21"/>
          <w:szCs w:val="21"/>
        </w:rPr>
        <w:t xml:space="preserve">Lever uw definitieve portfolio (vijf profiles + inleiding) in. Lees voorafgaand aan deel 30 uw eigen portfolio nog eens door, alsof u zelf boardlid was — u zult in de masterproef zelf bevraagd worden op precies dit materiaal.</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Modeluitwerkingen</w:t>
      </w:r>
    </w:p>
    <w:p>
      <w:pPr>
        <w:pStyle w:val="Heading2"/>
        <w:pBdr>
          <w:bottom w:val="single" w:color="2563A8" w:sz="6" w:space="4"/>
        </w:pBdr>
        <w:spacing w:after="160" w:before="300"/>
      </w:pPr>
      <w:r>
        <w:rPr>
          <w:rFonts w:ascii="Calibri" w:cs="Calibri" w:eastAsia="Calibri" w:hAnsi="Calibri"/>
          <w:b/>
          <w:bCs/>
          <w:color w:val="2563A8"/>
          <w:sz w:val="24"/>
          <w:szCs w:val="24"/>
        </w:rPr>
        <w:t xml:space="preserve">Uitwerking opdracht 1</w:t>
      </w:r>
    </w:p>
    <w:p>
      <w:pPr>
        <w:spacing w:after="160" w:line="300"/>
        <w:jc w:val="left"/>
      </w:pPr>
      <w:r>
        <w:rPr>
          <w:rFonts w:ascii="Calibri" w:cs="Calibri" w:eastAsia="Calibri" w:hAnsi="Calibri"/>
          <w:b w:val="false"/>
          <w:bCs w:val="false"/>
          <w:i w:val="false"/>
          <w:iCs w:val="false"/>
          <w:color w:val="1A1A1A"/>
          <w:sz w:val="21"/>
          <w:szCs w:val="21"/>
        </w:rPr>
        <w:t xml:space="preserve">Een veelvoorkomend patroon: situatie 5 (een positieve uitkomst) verleidt het meest tot registerverschuiving — de verleiding is niet om iets te verbergen, maar om richting het bestuur optimistischer te klinken dan de toezichthouder zou willen horen (of andersom, overdreven bescheiden richting compliance uit voorzichtigheid). Het principe dat hier tegenhoudt: dezelfde regel als deel 27 — het register bepaalt nadruk, niet feiten, ook bij goed nieuws.</w:t>
      </w:r>
    </w:p>
    <w:p>
      <w:pPr>
        <w:pStyle w:val="Heading2"/>
        <w:pBdr>
          <w:bottom w:val="single" w:color="2563A8" w:sz="6" w:space="4"/>
        </w:pBdr>
        <w:spacing w:after="160" w:before="300"/>
      </w:pPr>
      <w:r>
        <w:rPr>
          <w:rFonts w:ascii="Calibri" w:cs="Calibri" w:eastAsia="Calibri" w:hAnsi="Calibri"/>
          <w:b/>
          <w:bCs/>
          <w:color w:val="2563A8"/>
          <w:sz w:val="24"/>
          <w:szCs w:val="24"/>
        </w:rPr>
        <w:t xml:space="preserve">Beoordelingskader opdracht 2-3</w:t>
      </w:r>
    </w:p>
    <w:p>
      <w:pPr>
        <w:spacing w:after="160" w:line="300"/>
        <w:jc w:val="left"/>
      </w:pPr>
      <w:r>
        <w:rPr>
          <w:rFonts w:ascii="Calibri" w:cs="Calibri" w:eastAsia="Calibri" w:hAnsi="Calibri"/>
          <w:b w:val="false"/>
          <w:bCs w:val="false"/>
          <w:i w:val="false"/>
          <w:iCs w:val="false"/>
          <w:color w:val="1A1A1A"/>
          <w:sz w:val="21"/>
          <w:szCs w:val="21"/>
        </w:rPr>
        <w:t xml:space="preserve">Sterk: de vijf gekozen profiles tonen samen de volle breedte van de gekozen specialisatie én de vijf conformance-criteria; de inleiding legt expliciet uit waaróm deze vijf, niet alle zeven. Zwak: een portfolio dat alle zeven profiles zonder selectie bevat — de selectie zelf is een architectonische keuze (welke bijdrage weegt het zwaarst) en hoort er dus bij.</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Business &amp; Enterprise Architectuur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29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2026-08-17T14:47:57.073Z</dcterms:created>
  <dcterms:modified xsi:type="dcterms:W3CDTF">2026-08-17T14:47:57.075Z</dcterms:modified>
</cp:coreProperties>
</file>

<file path=docProps/custom.xml><?xml version="1.0" encoding="utf-8"?>
<Properties xmlns="http://schemas.openxmlformats.org/officeDocument/2006/custom-properties" xmlns:vt="http://schemas.openxmlformats.org/officeDocument/2006/docPropsVTypes"/>
</file>