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3 — Deel 30</w:t>
      </w:r>
    </w:p>
    <w:p>
      <w:pPr>
        <w:spacing w:after="300"/>
      </w:pPr>
      <w:r>
        <w:rPr>
          <w:rFonts w:ascii="Calibri" w:cs="Calibri" w:eastAsia="Calibri" w:hAnsi="Calibri"/>
          <w:b/>
          <w:bCs/>
          <w:color w:val="14213D"/>
          <w:sz w:val="32"/>
          <w:szCs w:val="32"/>
        </w:rPr>
        <w:t xml:space="preserve">Docentenhandleiding — Masterproef: de boardsimulatie (twee dagdelen)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Duur: </w:t>
            </w:r>
            <w:r>
              <w:rPr>
                <w:rFonts w:ascii="Calibri" w:cs="Calibri" w:eastAsia="Calibri" w:hAnsi="Calibri"/>
                <w:b w:val="false"/>
                <w:bCs w:val="false"/>
                <w:i/>
                <w:iCs/>
                <w:color w:val="14213D"/>
                <w:sz w:val="20"/>
                <w:szCs w:val="20"/>
              </w:rPr>
              <w:t xml:space="preserve">twee dagdelen (elk 4 uur incl. pauze) — bij groepen groter dan 6-8 een derde dagdeel overwegen, zie hieronder</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Groepsgrootte: </w:t>
            </w:r>
            <w:r>
              <w:rPr>
                <w:rFonts w:ascii="Calibri" w:cs="Calibri" w:eastAsia="Calibri" w:hAnsi="Calibri"/>
                <w:b w:val="false"/>
                <w:bCs w:val="false"/>
                <w:i/>
                <w:iCs/>
                <w:color w:val="14213D"/>
                <w:sz w:val="20"/>
                <w:szCs w:val="20"/>
              </w:rPr>
              <w:t xml:space="preserve">idealiter 8-12 voor dit specifieke deel (grotere groepen vragen meer tijd voor de simulaties)</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Voorkennis: </w:t>
            </w:r>
            <w:r>
              <w:rPr>
                <w:rFonts w:ascii="Calibri" w:cs="Calibri" w:eastAsia="Calibri" w:hAnsi="Calibri"/>
                <w:b w:val="false"/>
                <w:bCs w:val="false"/>
                <w:i/>
                <w:iCs/>
                <w:color w:val="14213D"/>
                <w:sz w:val="20"/>
                <w:szCs w:val="20"/>
              </w:rPr>
              <w:t xml:space="preserve">volledig niveau 1-3; definitief evidence-portfolio compleet</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Materiaal: </w:t>
            </w:r>
            <w:r>
              <w:rPr>
                <w:rFonts w:ascii="Calibri" w:cs="Calibri" w:eastAsia="Calibri" w:hAnsi="Calibri"/>
                <w:b w:val="false"/>
                <w:bCs w:val="false"/>
                <w:i/>
                <w:iCs/>
                <w:color w:val="14213D"/>
                <w:sz w:val="20"/>
                <w:szCs w:val="20"/>
              </w:rPr>
              <w:t xml:space="preserve">reader/werkboek/slidedeck deel 30, vier rolkaarten (bestuur/DNB/AFM/programmadirecteur) met elk twee vooraf-thema's en aantekenruimte voor onvoorziene vragen, tijdklok</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Plaats van dit deel in het niveau — en in de hele cursus</w:t>
      </w:r>
    </w:p>
    <w:p>
      <w:pPr>
        <w:spacing w:after="160" w:line="300"/>
        <w:jc w:val="left"/>
      </w:pPr>
      <w:r>
        <w:rPr>
          <w:rFonts w:ascii="Calibri" w:cs="Calibri" w:eastAsia="Calibri" w:hAnsi="Calibri"/>
          <w:b w:val="false"/>
          <w:bCs w:val="false"/>
          <w:i w:val="false"/>
          <w:iCs w:val="false"/>
          <w:color w:val="1A1A1A"/>
          <w:sz w:val="21"/>
          <w:szCs w:val="21"/>
        </w:rPr>
        <w:t xml:space="preserve">Dit is het absolute sluitstuk: het laatste deel van niveau 3, en daarmee van de hele cursus. Behandel de opening en afsluiting met het gewicht dat dat verdient — dit is het moment waarop negen maanden (of hoe lang de cursus ook liep) werk samenkomt.</w:t>
      </w:r>
    </w:p>
    <w:p>
      <w:pPr>
        <w:spacing w:after="160" w:line="300"/>
        <w:jc w:val="left"/>
      </w:pPr>
      <w:r>
        <w:rPr>
          <w:rFonts w:ascii="Calibri" w:cs="Calibri" w:eastAsia="Calibri" w:hAnsi="Calibri"/>
          <w:b/>
          <w:bCs/>
          <w:i w:val="false"/>
          <w:iCs w:val="false"/>
          <w:color w:val="1A1A1A"/>
          <w:sz w:val="21"/>
          <w:szCs w:val="21"/>
        </w:rPr>
        <w:t xml:space="preserve">Tijdsplanning is kritiek.</w:t>
      </w:r>
      <w:r>
        <w:rPr>
          <w:rFonts w:ascii="Calibri" w:cs="Calibri" w:eastAsia="Calibri" w:hAnsi="Calibri"/>
          <w:b w:val="false"/>
          <w:bCs w:val="false"/>
          <w:i w:val="false"/>
          <w:iCs w:val="false"/>
          <w:color w:val="1A1A1A"/>
          <w:sz w:val="21"/>
          <w:szCs w:val="21"/>
        </w:rPr>
        <w:t xml:space="preserve"> Bij groepen groter dan 8 past de volledige simulatieronde (35 minuten × aantal deelnemers) niet in dagdeel B alleen. Reken: 8 deelnemers × 35 minuten = 280 minuten, wat al bijna het hele dagdeel B vult zonder ruimte voor de peer feedback en de slotreflectie. Overweeg bij grotere groepen een derde dagdeel, of laat een deel van de simulaties in kleinere parallelle groepen plaatsvinden onder begeleiding van meerdere docenten/ervaren peer-beoordelaars.</w:t>
      </w:r>
    </w:p>
    <w:p>
      <w:pPr>
        <w:pStyle w:val="Heading2"/>
        <w:pBdr>
          <w:bottom w:val="single" w:color="2563A8" w:sz="6" w:space="4"/>
        </w:pBdr>
        <w:spacing w:after="160" w:before="300"/>
      </w:pPr>
      <w:r>
        <w:rPr>
          <w:rFonts w:ascii="Calibri" w:cs="Calibri" w:eastAsia="Calibri" w:hAnsi="Calibri"/>
          <w:b/>
          <w:bCs/>
          <w:color w:val="2563A8"/>
          <w:sz w:val="24"/>
          <w:szCs w:val="24"/>
        </w:rPr>
        <w:t xml:space="preserve">Dagdeelplanning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0:00–0:15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Opening: het sluitstuk van de cursus + opdracht 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 + tweetallen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0:15–0:30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 masterproefcasus geïntroduceerd</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0:30–1:00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 — casus analyseren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1:00–1:20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1:20–1:40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vier boardrollen toegelicht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1:40–2:20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2 — boardrollen voorbereiden (incl. groepsindeling)</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 groepswerk</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2:20–3:00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3 — verdedigingsstructuur bouwen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3:00–3:50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Individuele oefentijd (opdracht 4) + coaching door docent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begeleid</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3:50–4:00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Afsluiting dagdeel A + praktische afspraken dagdeel B</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Dagdeelplanning B (voorbeeld voor 8 deelnemers)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0:00–0:10</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Opening, verwachtingen, rolverdeling bevestigen</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0:10–3:30</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Acht boardsimulaties × 35 min (incl. korte pauzes na elke 2-3 simulaties)</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3:30–3:50</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6 — slotreflectie</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3:50–4:00</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Afsluiting van de hele cursus</w:t>
            </w:r>
          </w:p>
        </w:tc>
      </w:tr>
    </w:tbl>
    <w:p>
      <w:pPr>
        <w:spacing w:before="200"/>
      </w:pP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Didactische aanwijzingen per onderdeel</w:t>
      </w:r>
    </w:p>
    <w:p>
      <w:pPr>
        <w:spacing w:after="160" w:line="300"/>
        <w:jc w:val="left"/>
      </w:pPr>
      <w:r>
        <w:rPr>
          <w:rFonts w:ascii="Calibri" w:cs="Calibri" w:eastAsia="Calibri" w:hAnsi="Calibri"/>
          <w:b/>
          <w:bCs/>
          <w:i w:val="false"/>
          <w:iCs w:val="false"/>
          <w:color w:val="1A1A1A"/>
          <w:sz w:val="21"/>
          <w:szCs w:val="21"/>
        </w:rPr>
        <w:t xml:space="preserve">De masterproefcasus introduceren.</w:t>
      </w:r>
      <w:r>
        <w:rPr>
          <w:rFonts w:ascii="Calibri" w:cs="Calibri" w:eastAsia="Calibri" w:hAnsi="Calibri"/>
          <w:b w:val="false"/>
          <w:bCs w:val="false"/>
          <w:i w:val="false"/>
          <w:iCs w:val="false"/>
          <w:color w:val="1A1A1A"/>
          <w:sz w:val="21"/>
          <w:szCs w:val="21"/>
        </w:rPr>
        <w:t xml:space="preserve"> Vertel het als een echt, invoelbaar scenario — een audit-ontdekking na twaalf jaar is precies het soort moment dat in de sector voorkomt. Benadruk dat de opgave niet is "het probleem oplossen" (dat kan niemand in een dagdeel) maar "een verdedigbare strategie presenteren voor hóe het wordt aangepakt".</w:t>
      </w:r>
    </w:p>
    <w:p>
      <w:pPr>
        <w:spacing w:after="160" w:line="300"/>
        <w:jc w:val="left"/>
      </w:pPr>
      <w:r>
        <w:rPr>
          <w:rFonts w:ascii="Calibri" w:cs="Calibri" w:eastAsia="Calibri" w:hAnsi="Calibri"/>
          <w:b/>
          <w:bCs/>
          <w:i w:val="false"/>
          <w:iCs w:val="false"/>
          <w:color w:val="1A1A1A"/>
          <w:sz w:val="21"/>
          <w:szCs w:val="21"/>
        </w:rPr>
        <w:t xml:space="preserve">Opdracht 2b — de rolverdeling.</w:t>
      </w:r>
      <w:r>
        <w:rPr>
          <w:rFonts w:ascii="Calibri" w:cs="Calibri" w:eastAsia="Calibri" w:hAnsi="Calibri"/>
          <w:b w:val="false"/>
          <w:bCs w:val="false"/>
          <w:i w:val="false"/>
          <w:iCs w:val="false"/>
          <w:color w:val="1A1A1A"/>
          <w:sz w:val="21"/>
          <w:szCs w:val="21"/>
        </w:rPr>
        <w:t xml:space="preserve"> Dit is organisatorisch de complexste stap van het hele dagdeel. Zorg voor een duidelijk schema: wie speelt welke rol voor wie, en in welke volgorde de simulaties in dagdeel B plaatsvinden. Verspreid rollen zodat niemand tweemaal dezelfde rol hoeft te spelen voor dezelfde persoon.</w:t>
      </w:r>
    </w:p>
    <w:p>
      <w:pPr>
        <w:spacing w:after="160" w:line="300"/>
        <w:jc w:val="left"/>
      </w:pPr>
      <w:r>
        <w:rPr>
          <w:rFonts w:ascii="Calibri" w:cs="Calibri" w:eastAsia="Calibri" w:hAnsi="Calibri"/>
          <w:b/>
          <w:bCs/>
          <w:i w:val="false"/>
          <w:iCs w:val="false"/>
          <w:color w:val="1A1A1A"/>
          <w:sz w:val="21"/>
          <w:szCs w:val="21"/>
        </w:rPr>
        <w:t xml:space="preserve">Rolkaarten.</w:t>
      </w:r>
      <w:r>
        <w:rPr>
          <w:rFonts w:ascii="Calibri" w:cs="Calibri" w:eastAsia="Calibri" w:hAnsi="Calibri"/>
          <w:b w:val="false"/>
          <w:bCs w:val="false"/>
          <w:i w:val="false"/>
          <w:iCs w:val="false"/>
          <w:color w:val="1A1A1A"/>
          <w:sz w:val="21"/>
          <w:szCs w:val="21"/>
        </w:rPr>
        <w:t xml:space="preserve"> Bereid voor elke rol twee vooraf te delen thema's voor (bijvoorbeeld voor DNB: "hoe kon dit twaalf jaar onopgemerkt blijven?" en "wat garandeert herhaling niet?") plus ruimte voor de rolspeler om, tijdens de simulatie zelf, één onvoorziene vraag te bedenken die aansluit bij wat de verdediger net gezegd heeft.</w:t>
      </w:r>
    </w:p>
    <w:p>
      <w:pPr>
        <w:spacing w:after="160" w:line="300"/>
        <w:jc w:val="left"/>
      </w:pPr>
      <w:r>
        <w:rPr>
          <w:rFonts w:ascii="Calibri" w:cs="Calibri" w:eastAsia="Calibri" w:hAnsi="Calibri"/>
          <w:b/>
          <w:bCs/>
          <w:i w:val="false"/>
          <w:iCs w:val="false"/>
          <w:color w:val="1A1A1A"/>
          <w:sz w:val="21"/>
          <w:szCs w:val="21"/>
        </w:rPr>
        <w:t xml:space="preserve">De boardsimulaties (dagdeel B).</w:t>
      </w:r>
      <w:r>
        <w:rPr>
          <w:rFonts w:ascii="Calibri" w:cs="Calibri" w:eastAsia="Calibri" w:hAnsi="Calibri"/>
          <w:b w:val="false"/>
          <w:bCs w:val="false"/>
          <w:i w:val="false"/>
          <w:iCs w:val="false"/>
          <w:color w:val="1A1A1A"/>
          <w:sz w:val="21"/>
          <w:szCs w:val="21"/>
        </w:rPr>
        <w:t xml:space="preserve"> Bewaak de tijd strikt — een zichtbare klok, hardop aangekondigde faseovergangen (net als deel 28-29). Grijp in als een rolspeler buiten zijn concern treedt (een "AFM"-rol die plotseling over technologiestandaarden begint hoort niet bij die rol) of als de verdediger onder druk de registerdiscipline (deel 29) verliest — noteer dat voor de peer feedback in plaats van het gesprek te onderbreken.</w:t>
      </w:r>
    </w:p>
    <w:p>
      <w:pPr>
        <w:spacing w:after="160" w:line="300"/>
        <w:jc w:val="left"/>
      </w:pPr>
      <w:r>
        <w:rPr>
          <w:rFonts w:ascii="Calibri" w:cs="Calibri" w:eastAsia="Calibri" w:hAnsi="Calibri"/>
          <w:b/>
          <w:bCs/>
          <w:i w:val="false"/>
          <w:iCs w:val="false"/>
          <w:color w:val="1A1A1A"/>
          <w:sz w:val="21"/>
          <w:szCs w:val="21"/>
        </w:rPr>
        <w:t xml:space="preserve">Slotreflectie en afsluiting van de hele cursus.</w:t>
      </w:r>
      <w:r>
        <w:rPr>
          <w:rFonts w:ascii="Calibri" w:cs="Calibri" w:eastAsia="Calibri" w:hAnsi="Calibri"/>
          <w:b w:val="false"/>
          <w:bCs w:val="false"/>
          <w:i w:val="false"/>
          <w:iCs w:val="false"/>
          <w:color w:val="1A1A1A"/>
          <w:sz w:val="21"/>
          <w:szCs w:val="21"/>
        </w:rPr>
        <w:t xml:space="preserve"> Neem hier echt de tijd. Laat, als de groep dat wil, een paar deelnemers hun reflectie hardop delen. Dit is het moment om de hele boog van de cursus te benoemen: van de eerste WGP 2.0-post-mortem (niveau 1, deel 1) tot vandaag — een architectuurfunctie die is opgebouwd, opgeschaald, en nu overtuigend verantwoord kan worden onder de zwaarste denkbare druk.</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Veelgestelde vragen en gevoeligheden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"Is dit representatief voor het echte Open CA-boardgesprek?"</w:t>
      </w:r>
      <w:r>
        <w:rPr>
          <w:rFonts w:ascii="Calibri" w:cs="Calibri" w:eastAsia="Calibri" w:hAnsi="Calibri"/>
          <w:b w:val="false"/>
          <w:bCs w:val="false"/>
          <w:i w:val="false"/>
          <w:iCs w:val="false"/>
          <w:color w:val="1A1A1A"/>
          <w:sz w:val="21"/>
          <w:szCs w:val="21"/>
        </w:rPr>
        <w:t xml:space="preserve"> — Zo dicht mogelijk benaderd binnen een cursusformat; het echte gesprek duurt vaak langer en de boardleden zijn onbekende, zeer ervaren architecten — de simulatie is een oefenvorm, geen exacte kopie.</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"Wat als ik niet klaar ben voor het echte traject na deze cursus?"</w:t>
      </w:r>
      <w:r>
        <w:rPr>
          <w:rFonts w:ascii="Calibri" w:cs="Calibri" w:eastAsia="Calibri" w:hAnsi="Calibri"/>
          <w:b w:val="false"/>
          <w:bCs w:val="false"/>
          <w:i w:val="false"/>
          <w:iCs w:val="false"/>
          <w:color w:val="1A1A1A"/>
          <w:sz w:val="21"/>
          <w:szCs w:val="21"/>
        </w:rPr>
        <w:t xml:space="preserve"> — Normaliseer dit: de cursus bereidt voor, garandeert geen certificering; het portfolio en de vaardigheid groeien vaak nog door na de cursus, met echte werkervaring als aanvulling.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Gevoeligheid: dit is emotioneel het meest beladen dagdeel van de cursus (prestatiedruk, afsluiting). Zorg voor een ondersteunende, niet-vernietigende feedbackcultuur — elke simulatie eindigt met iets dat werkte, niet alleen met kritiek.</w:t>
      </w:r>
    </w:p>
    <w:p>
      <w:pPr>
        <w:pStyle w:val="Heading2"/>
        <w:pBdr>
          <w:bottom w:val="single" w:color="2563A8" w:sz="6" w:space="4"/>
        </w:pBdr>
        <w:spacing w:after="160" w:before="300"/>
      </w:pPr>
      <w:r>
        <w:rPr>
          <w:rFonts w:ascii="Calibri" w:cs="Calibri" w:eastAsia="Calibri" w:hAnsi="Calibri"/>
          <w:b/>
          <w:bCs/>
          <w:color w:val="2563A8"/>
          <w:sz w:val="24"/>
          <w:szCs w:val="24"/>
        </w:rPr>
        <w:t xml:space="preserve">Afronding van de hele cursus</w:t>
      </w:r>
    </w:p>
    <w:p>
      <w:pPr>
        <w:spacing w:after="160" w:line="300"/>
        <w:jc w:val="left"/>
      </w:pPr>
      <w:r>
        <w:rPr>
          <w:rFonts w:ascii="Calibri" w:cs="Calibri" w:eastAsia="Calibri" w:hAnsi="Calibri"/>
          <w:b w:val="false"/>
          <w:bCs w:val="false"/>
          <w:i w:val="false"/>
          <w:iCs w:val="false"/>
          <w:color w:val="1A1A1A"/>
          <w:sz w:val="21"/>
          <w:szCs w:val="21"/>
        </w:rPr>
        <w:t xml:space="preserve">Na deel 30 is de cursus inhoudelijk compleet: 30 delen, drie niveaus, drie certificeringslijnen (TOGAF Foundation/Practitioner, ArchiMate Part 1/2, Open CA), doorlopend gebouwd op de Meridiaan-casus. Resterend voor de cursus als geheel: de Toolbijlage (Archi-referentiemateriaal, buiten de nummering) en, als allerlaatste stap over de volledige cursus heen, figuren en opmaak.</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30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2026-08-17T14:47:58.062Z</dcterms:created>
  <dcterms:modified xsi:type="dcterms:W3CDTF">2026-08-17T14:47:58.064Z</dcterms:modified>
</cp:coreProperties>
</file>

<file path=docProps/custom.xml><?xml version="1.0" encoding="utf-8"?>
<Properties xmlns="http://schemas.openxmlformats.org/officeDocument/2006/custom-properties" xmlns:vt="http://schemas.openxmlformats.org/officeDocument/2006/docPropsVTypes"/>
</file>