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3 — Deel 30</w:t>
      </w:r>
    </w:p>
    <w:p>
      <w:pPr>
        <w:spacing w:after="300"/>
      </w:pPr>
      <w:r>
        <w:rPr>
          <w:rFonts w:ascii="Calibri" w:cs="Calibri" w:eastAsia="Calibri" w:hAnsi="Calibri"/>
          <w:b/>
          <w:bCs/>
          <w:color w:val="14213D"/>
          <w:sz w:val="40"/>
          <w:szCs w:val="40"/>
        </w:rPr>
        <w:t xml:space="preserve">Masterproef: de boardsimulatie</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Twee dagdelen. Het laatste deel van de hele cursus — niveau 1, 2 en 3 komen hier samen in één verdediging. Dagdeel A bereidt de masterproef inhoudelijk voor: een audit ontdekt, twaalf maanden voor de transitiedeadline, een nieuw datakwaliteitsprobleem. Dagdeel B is de boardsimulatie zelf: uw architectuurstrategie verdedigd voor vier rollen, half vooraf gedeeld, half onvoorzien.</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Dagdeel A — De masterproef voorbereiden</w:t>
      </w:r>
    </w:p>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dagdeel A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masterproefcasus analyseren en er een verdedigbare architectuurstrategie voor opstellen, gebruikmakend van uw volledige evidence-portfolio;</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vier boardrollen (bestuur, DNB, AFM, programmadirecteur) en hun specifieke concerns onderscheiden en voorbereiden;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verdedigingsstructuur bouwen die uw hele niveau 3-vaardigheid (Experience Profiles, bestuurstaal, verdedigbaar stoppen, ethische grens, registerwisseling) in één samenhangend geheel toont;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omgaan met de spanning tussen voorbereide antwoorden en onvoorziene doorvragen.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De masterproefcasus</w:t>
      </w:r>
    </w:p>
    <w:p>
      <w:pPr>
        <w:spacing w:after="160" w:line="300"/>
        <w:jc w:val="left"/>
      </w:pPr>
      <w:r>
        <w:rPr>
          <w:rFonts w:ascii="Calibri" w:cs="Calibri" w:eastAsia="Calibri" w:hAnsi="Calibri"/>
          <w:b w:val="false"/>
          <w:bCs w:val="false"/>
          <w:i w:val="false"/>
          <w:iCs w:val="false"/>
          <w:color w:val="1A1A1A"/>
          <w:sz w:val="21"/>
          <w:szCs w:val="21"/>
        </w:rPr>
        <w:t xml:space="preserve">Twaalf maanden voor de transitiedeadline (1 januari 2028) ontdekt een interne audit een nieuw datakwaliteitsprobleem: een systematische fout in de historische rechtenberekening voor een deelgroep deelnemers (naar schatting acht procent van het totale bestand), ontstaan door een fout die twaalf jaar geleden in een systeemmigratie is geslopen en tot nu toe onopgemerkt bleef. De fout is niet triviaal: zij raakt de juistheid-dimensie (deel 26, §4) direct, bij een groep die niet klein genoeg is om te negeren en niet groot genoeg om de hele transitie te laten ontsporen.</w:t>
      </w:r>
    </w:p>
    <w:p>
      <w:pPr>
        <w:spacing w:after="160" w:line="300"/>
        <w:jc w:val="left"/>
      </w:pPr>
      <w:r>
        <w:rPr>
          <w:rFonts w:ascii="Calibri" w:cs="Calibri" w:eastAsia="Calibri" w:hAnsi="Calibri"/>
          <w:b w:val="false"/>
          <w:bCs w:val="false"/>
          <w:i w:val="false"/>
          <w:iCs w:val="false"/>
          <w:color w:val="1A1A1A"/>
          <w:sz w:val="21"/>
          <w:szCs w:val="21"/>
        </w:rPr>
        <w:t xml:space="preserve">U wordt gevraagd uw architectuurstrategie voor de omgang met dit probleem te presenteren en te verdedigen: wat is uw voorstel, wat zijn de alternatieven, wat is het herstelpad, en — het scherpst — wat betekent dit voor de deadline en voor de eerder aan DNB en AFM gerapporteerde stand van zaken?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De vier boardrollen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Bestuur:</w:t>
      </w:r>
      <w:r>
        <w:rPr>
          <w:rFonts w:ascii="Calibri" w:cs="Calibri" w:eastAsia="Calibri" w:hAnsi="Calibri"/>
          <w:b w:val="false"/>
          <w:bCs w:val="false"/>
          <w:i w:val="false"/>
          <w:iCs w:val="false"/>
          <w:color w:val="1A1A1A"/>
          <w:sz w:val="21"/>
          <w:szCs w:val="21"/>
        </w:rPr>
        <w:t xml:space="preserve"> wil weten of de deadline en de aansprakelijkheid houdbaar blijven (deel 24) — hun primaire vraag: "kunnen wij dit nog verantwoord dragen?"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DNB:</w:t>
      </w:r>
      <w:r>
        <w:rPr>
          <w:rFonts w:ascii="Calibri" w:cs="Calibri" w:eastAsia="Calibri" w:hAnsi="Calibri"/>
          <w:b w:val="false"/>
          <w:bCs w:val="false"/>
          <w:i w:val="false"/>
          <w:iCs w:val="false"/>
          <w:color w:val="1A1A1A"/>
          <w:sz w:val="21"/>
          <w:szCs w:val="21"/>
        </w:rPr>
        <w:t xml:space="preserve"> toetst of het proces en de beheersing aantoonbaar zijn (niveau 2, deel 21) — hun primaire vraag: "hoe kon dit twaalf jaar onopgemerkt blijven, en wat garandeert dat dit niet nog een keer gebeurt?"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AFM:</w:t>
      </w:r>
      <w:r>
        <w:rPr>
          <w:rFonts w:ascii="Calibri" w:cs="Calibri" w:eastAsia="Calibri" w:hAnsi="Calibri"/>
          <w:b w:val="false"/>
          <w:bCs w:val="false"/>
          <w:i w:val="false"/>
          <w:iCs w:val="false"/>
          <w:color w:val="1A1A1A"/>
          <w:sz w:val="21"/>
          <w:szCs w:val="21"/>
        </w:rPr>
        <w:t xml:space="preserve"> toetst de communicatie naar de getroffen deelnemers — hun primaire vraag: "hoe en wanneer informeert u de deelnemers, en is dat eerlijk en tijdig?"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Programmadirecteur:</w:t>
      </w:r>
      <w:r>
        <w:rPr>
          <w:rFonts w:ascii="Calibri" w:cs="Calibri" w:eastAsia="Calibri" w:hAnsi="Calibri"/>
          <w:b w:val="false"/>
          <w:bCs w:val="false"/>
          <w:i w:val="false"/>
          <w:iCs w:val="false"/>
          <w:color w:val="1A1A1A"/>
          <w:sz w:val="21"/>
          <w:szCs w:val="21"/>
        </w:rPr>
        <w:t xml:space="preserve"> toetst de haalbaarheid binnen het programma — hun primaire vraag: "wat betekent dit voor de andere veertien initiatieven en de deadline?"</w:t>
      </w:r>
    </w:p>
    <w:p>
      <w:pPr>
        <w:spacing w:after="160" w:line="300"/>
        <w:jc w:val="left"/>
      </w:pPr>
      <w:r>
        <w:rPr>
          <w:rFonts w:ascii="Calibri" w:cs="Calibri" w:eastAsia="Calibri" w:hAnsi="Calibri"/>
          <w:b w:val="false"/>
          <w:bCs w:val="false"/>
          <w:i w:val="false"/>
          <w:iCs w:val="false"/>
          <w:color w:val="1A1A1A"/>
          <w:sz w:val="21"/>
          <w:szCs w:val="21"/>
        </w:rPr>
        <w:t xml:space="preserve">Elke rol vraagt door vanuit zijn eigen concern; uw antwoord moet </w:t>
      </w:r>
      <w:r>
        <w:rPr>
          <w:rFonts w:ascii="Calibri" w:cs="Calibri" w:eastAsia="Calibri" w:hAnsi="Calibri"/>
          <w:b/>
          <w:bCs/>
          <w:i w:val="false"/>
          <w:iCs w:val="false"/>
          <w:color w:val="1A1A1A"/>
          <w:sz w:val="21"/>
          <w:szCs w:val="21"/>
        </w:rPr>
        <w:t xml:space="preserve">hetzelfde onderliggende feit</w:t>
      </w:r>
      <w:r>
        <w:rPr>
          <w:rFonts w:ascii="Calibri" w:cs="Calibri" w:eastAsia="Calibri" w:hAnsi="Calibri"/>
          <w:b w:val="false"/>
          <w:bCs w:val="false"/>
          <w:i w:val="false"/>
          <w:iCs w:val="false"/>
          <w:color w:val="1A1A1A"/>
          <w:sz w:val="21"/>
          <w:szCs w:val="21"/>
        </w:rPr>
        <w:t xml:space="preserve"> in vier registers kunnen presenteren (deel 29) zonder de kern te laten verschuiven.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De verdedigingsstructuur</w:t>
      </w:r>
    </w:p>
    <w:p>
      <w:pPr>
        <w:spacing w:after="160" w:line="300"/>
        <w:jc w:val="left"/>
      </w:pPr>
      <w:r>
        <w:rPr>
          <w:rFonts w:ascii="Calibri" w:cs="Calibri" w:eastAsia="Calibri" w:hAnsi="Calibri"/>
          <w:b w:val="false"/>
          <w:bCs w:val="false"/>
          <w:i w:val="false"/>
          <w:iCs w:val="false"/>
          <w:color w:val="1A1A1A"/>
          <w:sz w:val="21"/>
          <w:szCs w:val="21"/>
        </w:rPr>
        <w:t xml:space="preserve">Naar het model van niveau 1 (deel 10) en niveau 2 (deel 22), opgeschaald naar de zwaarste versie: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Opening (2 min):</w:t>
      </w:r>
      <w:r>
        <w:rPr>
          <w:rFonts w:ascii="Calibri" w:cs="Calibri" w:eastAsia="Calibri" w:hAnsi="Calibri"/>
          <w:b w:val="false"/>
          <w:bCs w:val="false"/>
          <w:i w:val="false"/>
          <w:iCs w:val="false"/>
          <w:color w:val="1A1A1A"/>
          <w:sz w:val="21"/>
          <w:szCs w:val="21"/>
        </w:rPr>
        <w:t xml:space="preserve"> de ontdekking, in één zin, en de kernvraag van vandaag.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architectuurstrategie (5 min):</w:t>
      </w:r>
      <w:r>
        <w:rPr>
          <w:rFonts w:ascii="Calibri" w:cs="Calibri" w:eastAsia="Calibri" w:hAnsi="Calibri"/>
          <w:b w:val="false"/>
          <w:bCs w:val="false"/>
          <w:i w:val="false"/>
          <w:iCs w:val="false"/>
          <w:color w:val="1A1A1A"/>
          <w:sz w:val="21"/>
          <w:szCs w:val="21"/>
        </w:rPr>
        <w:t xml:space="preserve"> uw voorstel — het herstelpad, de impact op de deadline, de communicatie-aanpak — met de trade-offs kort benoemd.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Vragen (25-30 min):</w:t>
      </w:r>
      <w:r>
        <w:rPr>
          <w:rFonts w:ascii="Calibri" w:cs="Calibri" w:eastAsia="Calibri" w:hAnsi="Calibri"/>
          <w:b w:val="false"/>
          <w:bCs w:val="false"/>
          <w:i w:val="false"/>
          <w:iCs w:val="false"/>
          <w:color w:val="1A1A1A"/>
          <w:sz w:val="21"/>
          <w:szCs w:val="21"/>
        </w:rPr>
        <w:t xml:space="preserve"> de vier rollen bevragen u, deels op vooraf gedeelde thema's, deels onvoorzien.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Afsluiting (2 min):</w:t>
      </w:r>
      <w:r>
        <w:rPr>
          <w:rFonts w:ascii="Calibri" w:cs="Calibri" w:eastAsia="Calibri" w:hAnsi="Calibri"/>
          <w:b w:val="false"/>
          <w:bCs w:val="false"/>
          <w:i w:val="false"/>
          <w:iCs w:val="false"/>
          <w:color w:val="1A1A1A"/>
          <w:sz w:val="21"/>
          <w:szCs w:val="21"/>
        </w:rPr>
        <w:t xml:space="preserve"> de expliciete besluitvraag terug naar het bestuur.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Half vooraf, half onvoorzien.</w:t>
            </w:r>
            <w:r>
              <w:rPr>
                <w:rFonts w:ascii="Calibri" w:cs="Calibri" w:eastAsia="Calibri" w:hAnsi="Calibri"/>
                <w:b w:val="false"/>
                <w:bCs w:val="false"/>
                <w:i/>
                <w:iCs/>
                <w:color w:val="14213D"/>
                <w:sz w:val="20"/>
                <w:szCs w:val="20"/>
              </w:rPr>
              <w:t xml:space="preserve"> Twee van de vier rollen delen hun hoofdvraag vooraf (zodat u zich kunt voorbereiden, net als bij een echt boardgesprek waar bepaalde thema's bekend zijn); twee rollen bevragen onvoorzien — de werkelijkheid van een boardgesprek, waar niet alles te voorspellen is. Uw evidence-portfolio (deel 23-29) is hier het fundament: elke doorvraag is in wezen een variant op iets dat u al eerder heeft geoefend.</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Dagdeel B — De boardsimulatie</w:t>
      </w:r>
    </w:p>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dagdeel B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uw architectuurstrategie voor de masterproefcasus overtuigend presenteren en verdedigen voor vier rollen;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onvoorziene doorvragen beantwoorden met dezelfde discipline als de voorbereide thema's;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uw eigen optreden en dat van medecursisten beoordelen tegen de volledige set criteria die de hele cursus heeft opgebouwd;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cursus afsluiten met een helder beeld van uw gereedheid voor het daadwerkelijke Open CA-traject.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Wat het "board" beoordeelt</w:t>
      </w:r>
    </w:p>
    <w:p>
      <w:pPr>
        <w:spacing w:after="160" w:line="300"/>
        <w:jc w:val="left"/>
      </w:pPr>
      <w:r>
        <w:rPr>
          <w:rFonts w:ascii="Calibri" w:cs="Calibri" w:eastAsia="Calibri" w:hAnsi="Calibri"/>
          <w:b w:val="false"/>
          <w:bCs w:val="false"/>
          <w:i w:val="false"/>
          <w:iCs w:val="false"/>
          <w:color w:val="1A1A1A"/>
          <w:sz w:val="21"/>
          <w:szCs w:val="21"/>
        </w:rPr>
        <w:t xml:space="preserve">De boardsimulatie combineert alle rubrieken die de cursus heeft opgebouwd, in hun zwaarste vorm:</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vijf Open CA conformance-criteria</w:t>
      </w:r>
      <w:r>
        <w:rPr>
          <w:rFonts w:ascii="Calibri" w:cs="Calibri" w:eastAsia="Calibri" w:hAnsi="Calibri"/>
          <w:b w:val="false"/>
          <w:bCs w:val="false"/>
          <w:i w:val="false"/>
          <w:iCs w:val="false"/>
          <w:color w:val="1A1A1A"/>
          <w:sz w:val="21"/>
          <w:szCs w:val="21"/>
        </w:rPr>
        <w:t xml:space="preserve"> (deel 23): eigen aandeel, complexiteit, stakeholderbewustzijn, trade-off-eerlijkheid, reflectie.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Bestuurlijke communicatie</w:t>
      </w:r>
      <w:r>
        <w:rPr>
          <w:rFonts w:ascii="Calibri" w:cs="Calibri" w:eastAsia="Calibri" w:hAnsi="Calibri"/>
          <w:b w:val="false"/>
          <w:bCs w:val="false"/>
          <w:i w:val="false"/>
          <w:iCs w:val="false"/>
          <w:color w:val="1A1A1A"/>
          <w:sz w:val="21"/>
          <w:szCs w:val="21"/>
        </w:rPr>
        <w:t xml:space="preserve"> (deel 24): vertaling naar besluit, niet naar jargon.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Verdedigbaar stoppen/prioriteren</w:t>
      </w:r>
      <w:r>
        <w:rPr>
          <w:rFonts w:ascii="Calibri" w:cs="Calibri" w:eastAsia="Calibri" w:hAnsi="Calibri"/>
          <w:b w:val="false"/>
          <w:bCs w:val="false"/>
          <w:i w:val="false"/>
          <w:iCs w:val="false"/>
          <w:color w:val="1A1A1A"/>
          <w:sz w:val="21"/>
          <w:szCs w:val="21"/>
        </w:rPr>
        <w:t xml:space="preserve"> (deel 26): indien relevant voor het herstelpad.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Ethische grens</w:t>
      </w:r>
      <w:r>
        <w:rPr>
          <w:rFonts w:ascii="Calibri" w:cs="Calibri" w:eastAsia="Calibri" w:hAnsi="Calibri"/>
          <w:b w:val="false"/>
          <w:bCs w:val="false"/>
          <w:i w:val="false"/>
          <w:iCs w:val="false"/>
          <w:color w:val="1A1A1A"/>
          <w:sz w:val="21"/>
          <w:szCs w:val="21"/>
        </w:rPr>
        <w:t xml:space="preserve"> (deel 27): blijft het antwoord binnen de DNB-toets, ook onder druk van vier gelijktijdige, soms tegengestelde vragen?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Registerdiscipline</w:t>
      </w:r>
      <w:r>
        <w:rPr>
          <w:rFonts w:ascii="Calibri" w:cs="Calibri" w:eastAsia="Calibri" w:hAnsi="Calibri"/>
          <w:b w:val="false"/>
          <w:bCs w:val="false"/>
          <w:i w:val="false"/>
          <w:iCs w:val="false"/>
          <w:color w:val="1A1A1A"/>
          <w:sz w:val="21"/>
          <w:szCs w:val="21"/>
        </w:rPr>
        <w:t xml:space="preserve"> (deel 29): blijven de feiten identiek voor alle vier rollen?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Na de masterproef</w:t>
      </w:r>
    </w:p>
    <w:p>
      <w:pPr>
        <w:spacing w:after="160" w:line="300"/>
        <w:jc w:val="left"/>
      </w:pPr>
      <w:r>
        <w:rPr>
          <w:rFonts w:ascii="Calibri" w:cs="Calibri" w:eastAsia="Calibri" w:hAnsi="Calibri"/>
          <w:b w:val="false"/>
          <w:bCs w:val="false"/>
          <w:i w:val="false"/>
          <w:iCs w:val="false"/>
          <w:color w:val="1A1A1A"/>
          <w:sz w:val="21"/>
          <w:szCs w:val="21"/>
        </w:rPr>
        <w:t xml:space="preserve">De cursus eindigt hier, maar het Open CA-traject zelf begint pas echt met de daadwerkelijke portfolio-indiening en het echte boardgesprek. Wat deze cursus u heeft gegeven: het vermogen een architectuurbeslissing te nemen (niveau 1), op te schalen naar programma- en enterprise-niveau (niveau 2), en overtuigend te verantwoorden onder elke denkbare vorm van druk (niveau 3). De rest is oefening en ervaring die met de tijd komt.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6.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masterproefcasus (een laat ontdekt datakwaliteitsprobleem, twaalf maanden voor de deadline) verenigt alle niveau 3-vaardigheden in één zwaarste scenario.</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Vier boardrollen bevragen hetzelfde feit vanuit vier verschillende concerns — het antwoord moet overal hetzelfde onderliggende feit tonen.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verdedigingsstructuur schaalt niveau 1 en 2's capstone-vorm op; half vooraf gedeeld, half onvoorzien simuleert de werkelijkheid van een boardgesprek.</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beoordeling combineert alle rubrieken die de cursus heeft opgebouwd — dit is het sluitstuk, niet een nieuwe toets.</w:t>
      </w: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 Open CA Certification Guide, volledige conformance- en boardproces-documentatie (het echte vervolgtraject na deze cursus)</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30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2026-08-17T14:47:57.680Z</dcterms:created>
  <dcterms:modified xsi:type="dcterms:W3CDTF">2026-08-17T14:47:57.682Z</dcterms:modified>
</cp:coreProperties>
</file>

<file path=docProps/custom.xml><?xml version="1.0" encoding="utf-8"?>
<Properties xmlns="http://schemas.openxmlformats.org/officeDocument/2006/custom-properties" xmlns:vt="http://schemas.openxmlformats.org/officeDocument/2006/docPropsVTypes"/>
</file>