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1 — Het beroep</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color w:val="14213D"/>
          <w:sz w:val="22"/>
          <w:szCs w:val="22"/>
        </w:rPr>
        <w:t xml:space="preserve">Deel 1 heeft één taak die zwaarder weegt dan de leerdoelen: </w:t>
      </w:r>
      <w:r>
        <w:rPr>
          <w:rFonts w:ascii="DM Sans" w:cs="DM Sans" w:eastAsia="DM Sans" w:hAnsi="DM Sans"/>
          <w:b/>
          <w:bCs/>
          <w:color w:val="14213D"/>
          <w:sz w:val="22"/>
          <w:szCs w:val="22"/>
        </w:rPr>
        <w:t xml:space="preserve">de deelnemers moeten aan het eind van de ochtend accepteren dat deze cursus over henzelf gaat.</w:t>
      </w:r>
    </w:p>
    <w:p>
      <w:pPr>
        <w:spacing w:after="160"/>
      </w:pPr>
      <w:r>
        <w:rPr>
          <w:rFonts w:ascii="DM Sans" w:cs="DM Sans" w:eastAsia="DM Sans" w:hAnsi="DM Sans"/>
          <w:color w:val="14213D"/>
          <w:sz w:val="22"/>
          <w:szCs w:val="22"/>
        </w:rPr>
        <w:t xml:space="preserve">Dat is niet vanzelfsprekend. De typische deelnemer is een senior ontwikkelaar of een net gepromoveerde solution architect die zich heeft ingeschreven voor "een architectuurcursus" en verwacht dat er over systemen wordt gepraat. Als je die verwachting niet in het eerste uur omdraait, zit je de rest van het niveau te duwen.</w:t>
      </w:r>
    </w:p>
    <w:p>
      <w:pPr>
        <w:spacing w:after="160"/>
      </w:pPr>
      <w:r>
        <w:rPr>
          <w:rFonts w:ascii="DM Sans" w:cs="DM Sans" w:eastAsia="DM Sans" w:hAnsi="DM Sans"/>
          <w:color w:val="14213D"/>
          <w:sz w:val="22"/>
          <w:szCs w:val="22"/>
        </w:rPr>
        <w:t xml:space="preserve">Het instrument daarvoor is de casus. Zes van de zeven observaties gaan niet over techniek, en de deelnemers moeten dat zélf constateren — bij voorkeur in opdracht 3, niet doordat jij het zegt.</w:t>
      </w:r>
    </w:p>
    <w:p>
      <w:pPr>
        <w:spacing w:after="160"/>
      </w:pPr>
      <w:r>
        <w:rPr>
          <w:rFonts w:ascii="DM Sans" w:cs="DM Sans" w:eastAsia="DM Sans" w:hAnsi="DM Sans"/>
          <w:b/>
          <w:bCs/>
          <w:color w:val="14213D"/>
          <w:sz w:val="22"/>
          <w:szCs w:val="22"/>
        </w:rPr>
        <w:t xml:space="preserve">Secundair doel:</w:t>
      </w:r>
      <w:r>
        <w:rPr>
          <w:rFonts w:ascii="DM Sans" w:cs="DM Sans" w:eastAsia="DM Sans" w:hAnsi="DM Sans"/>
          <w:color w:val="14213D"/>
          <w:sz w:val="22"/>
          <w:szCs w:val="22"/>
        </w:rPr>
        <w:t xml:space="preserve"> de nulmeting (opdracht 7) op papier krijgen. Die heb je in deel 23 en in heel niveau 3 nodig. Deelnemers die hem overslaan, missen later hun eigen vertrekpunt.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Welkom, kennismaking, positionering van de cursus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Casus Meridiaan, Claudette, de zeven observaties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architectuur; wat een architect niet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jouw ene zin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 buurman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 – 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Beroep versus rol; de vier overtuigingen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discussie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pijlers en vijf specialisaties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observaties naar pijlers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3 — </w:t>
            </w:r>
            <w:r>
              <w:rPr>
                <w:rFonts w:ascii="DM Sans" w:cs="DM Sans" w:eastAsia="DM Sans" w:hAnsi="DM Sans"/>
                <w:i/>
                <w:iCs/>
                <w:color w:val="14213D"/>
                <w:sz w:val="22"/>
                <w:szCs w:val="22"/>
              </w:rPr>
              <w:t xml:space="preserve">dit is het scharnier van de dag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Opbouw van de BoK; minimum viable architecture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Ethiek en principes; de vier canons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4:05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6 — de vertraagde melding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 van vier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4:05 – 4:20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4:20 – 4:35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Positionering tussen de frameworks; certificeringspad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4:35 – 4:50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7 — nulmeting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4:50 – 5:00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O1 sluiten, drie draden, vooruitblik deel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color w:val="14213D"/>
          <w:sz w:val="22"/>
          <w:szCs w:val="22"/>
        </w:rPr>
        <w:t xml:space="preserve">Dat is vijf uur exclusief lunch. Bij een strak dagdeel van vier uur laat je opdracht 6 vervallen en geef je die mee als huiswerk; behandel dan wel de vier canons plenair aan de hand van één canon-II-voorbeeld.</w:t>
      </w:r>
    </w:p>
    <w:p>
      <w:pPr>
        <w:spacing w:after="160"/>
      </w:pPr>
      <w:r>
        <w:rPr>
          <w:rFonts w:ascii="DM Sans" w:cs="DM Sans" w:eastAsia="DM Sans" w:hAnsi="DM Sans"/>
          <w:b/>
          <w:bCs/>
          <w:color w:val="14213D"/>
          <w:sz w:val="22"/>
          <w:szCs w:val="22"/>
        </w:rPr>
        <w:t xml:space="preserve">Opdracht 2, 4 en 5 zijn zelfstudie.</w:t>
      </w:r>
      <w:r>
        <w:rPr>
          <w:rFonts w:ascii="DM Sans" w:cs="DM Sans" w:eastAsia="DM Sans" w:hAnsi="DM Sans"/>
          <w:color w:val="14213D"/>
          <w:sz w:val="22"/>
          <w:szCs w:val="22"/>
        </w:rPr>
        <w:t xml:space="preserve"> Opdracht 5 werkt klassikaal beter dan alleen, dus als je ruimte hebt, wissel hem in tegen opdracht 6 — niet allebei, dat wordt te veel ethiek voor een eerste dagdeel.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casus introduceren (0:10 – 0:35)</w:t>
      </w:r>
    </w:p>
    <w:p>
      <w:pPr>
        <w:spacing w:after="160"/>
      </w:pPr>
      <w:r>
        <w:rPr>
          <w:rFonts w:ascii="DM Sans" w:cs="DM Sans" w:eastAsia="DM Sans" w:hAnsi="DM Sans"/>
          <w:color w:val="14213D"/>
          <w:sz w:val="22"/>
          <w:szCs w:val="22"/>
        </w:rPr>
        <w:t xml:space="preserve">Vertel het als verhaal, niet als casusbeschrijving. Lees de vier gebeurtenissen voor in de volgorde van de reader; ze bouwen op. "De rem" landt het hardst als je even stil bent na die zin.</w:t>
      </w:r>
    </w:p>
    <w:p>
      <w:pPr>
        <w:spacing w:after="160"/>
      </w:pPr>
      <w:r>
        <w:rPr>
          <w:rFonts w:ascii="DM Sans" w:cs="DM Sans" w:eastAsia="DM Sans" w:hAnsi="DM Sans"/>
          <w:b/>
          <w:bCs/>
          <w:color w:val="14213D"/>
          <w:sz w:val="22"/>
          <w:szCs w:val="22"/>
        </w:rPr>
        <w:t xml:space="preserve">Valkuil: de deelnemers gaan Claudette verdedigen of veroordelen.</w:t>
      </w:r>
      <w:r>
        <w:rPr>
          <w:rFonts w:ascii="DM Sans" w:cs="DM Sans" w:eastAsia="DM Sans" w:hAnsi="DM Sans"/>
          <w:color w:val="14213D"/>
          <w:sz w:val="22"/>
          <w:szCs w:val="22"/>
        </w:rPr>
        <w:t xml:space="preserve"> Beide leiden af. Kap het af met: "We gaan niet bepalen of Claudette het goed doet. We gaan bepalen wat haar vak eigenlijk is."</w:t>
      </w:r>
    </w:p>
    <w:p>
      <w:pPr>
        <w:spacing w:after="160"/>
      </w:pPr>
      <w:r>
        <w:rPr>
          <w:rFonts w:ascii="DM Sans" w:cs="DM Sans" w:eastAsia="DM Sans" w:hAnsi="DM Sans"/>
          <w:b/>
          <w:bCs/>
          <w:color w:val="14213D"/>
          <w:sz w:val="22"/>
          <w:szCs w:val="22"/>
        </w:rPr>
        <w:t xml:space="preserve">Vraag om te stellen:</w:t>
      </w:r>
      <w:r>
        <w:rPr>
          <w:rFonts w:ascii="DM Sans" w:cs="DM Sans" w:eastAsia="DM Sans" w:hAnsi="DM Sans"/>
          <w:color w:val="14213D"/>
          <w:sz w:val="22"/>
          <w:szCs w:val="22"/>
        </w:rPr>
        <w:t xml:space="preserve"> "Wie herkent minstens drie van deze zeven in de eigen organisatie?" In een gemiddelde groep gaan vrijwel alle handen omhoog. Dat is het moment waarop de zaal binnenkomt.</w:t>
      </w:r>
    </w:p>
    <w:p>
      <w:pPr>
        <w:pStyle w:val="Heading3"/>
      </w:pPr>
      <w:r>
        <w:rPr>
          <w:rFonts w:ascii="DM Sans" w:cs="DM Sans" w:eastAsia="DM Sans" w:hAnsi="DM Sans"/>
          <w:color w:val="14213D"/>
          <w:sz w:val="22"/>
          <w:szCs w:val="22"/>
        </w:rPr>
        <w:t xml:space="preserve">3.2 "Wat een architect niet is" (0:35 – 0:55)</w:t>
      </w:r>
    </w:p>
    <w:p>
      <w:pPr>
        <w:spacing w:after="160"/>
      </w:pPr>
      <w:r>
        <w:rPr>
          <w:rFonts w:ascii="DM Sans" w:cs="DM Sans" w:eastAsia="DM Sans" w:hAnsi="DM Sans"/>
          <w:color w:val="14213D"/>
          <w:sz w:val="22"/>
          <w:szCs w:val="22"/>
        </w:rPr>
        <w:t xml:space="preserve">Dit is de eerste plek waar je weerstand krijgt, en die moet je hebben — niet vermijden.</w:t>
      </w:r>
    </w:p>
    <w:p>
      <w:pPr>
        <w:spacing w:after="160"/>
      </w:pPr>
      <w:r>
        <w:rPr>
          <w:rFonts w:ascii="DM Sans" w:cs="DM Sans" w:eastAsia="DM Sans" w:hAnsi="DM Sans"/>
          <w:b/>
          <w:bCs/>
          <w:color w:val="14213D"/>
          <w:sz w:val="22"/>
          <w:szCs w:val="22"/>
        </w:rPr>
        <w:t xml:space="preserve">Verwacht bezwaar:</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"Maar je moet toch weten hoe Kubernetes werkt?"</w:t>
      </w:r>
    </w:p>
    <w:p>
      <w:pPr>
        <w:spacing w:after="160"/>
      </w:pPr>
      <w:r>
        <w:rPr>
          <w:rFonts w:ascii="DM Sans" w:cs="DM Sans" w:eastAsia="DM Sans" w:hAnsi="DM Sans"/>
          <w:b/>
          <w:bCs/>
          <w:color w:val="14213D"/>
          <w:sz w:val="22"/>
          <w:szCs w:val="22"/>
        </w:rPr>
        <w:t xml:space="preserve">Antwoord dat werkt:</w:t>
      </w:r>
      <w:r>
        <w:rPr>
          <w:rFonts w:ascii="DM Sans" w:cs="DM Sans" w:eastAsia="DM Sans" w:hAnsi="DM Sans"/>
          <w:color w:val="14213D"/>
          <w:sz w:val="22"/>
          <w:szCs w:val="22"/>
        </w:rPr>
        <w:t xml:space="preserve"> Ja. Je moet ook weten hoe het integratieplatform werkt en hoe de mainframe eronder in elkaar zit. Het punt is niet dat kennis onbelangrijk is — het punt is dat het geen </w:t>
      </w:r>
      <w:r>
        <w:rPr>
          <w:rFonts w:ascii="DM Sans" w:cs="DM Sans" w:eastAsia="DM Sans" w:hAnsi="DM Sans"/>
          <w:i/>
          <w:iCs/>
          <w:color w:val="14213D"/>
          <w:sz w:val="22"/>
          <w:szCs w:val="22"/>
        </w:rPr>
        <w:t xml:space="preserve">onderscheidende</w:t>
      </w:r>
      <w:r>
        <w:rPr>
          <w:rFonts w:ascii="DM Sans" w:cs="DM Sans" w:eastAsia="DM Sans" w:hAnsi="DM Sans"/>
          <w:color w:val="14213D"/>
          <w:sz w:val="22"/>
          <w:szCs w:val="22"/>
        </w:rPr>
        <w:t xml:space="preserve"> eigenschap van het beroep is. Een goede ontwikkelaar weet dat ook. De vraag die de BoK stelt is: wat kun jij dat een goede ontwikkelaar niet kan? Als het antwoord "meer technologieën kennen" is, ben je een senior ontwikkelaar met een andere titel.</w:t>
      </w:r>
    </w:p>
    <w:p>
      <w:pPr>
        <w:spacing w:after="160"/>
      </w:pPr>
      <w:r>
        <w:rPr>
          <w:rFonts w:ascii="DM Sans" w:cs="DM Sans" w:eastAsia="DM Sans" w:hAnsi="DM Sans"/>
          <w:color w:val="14213D"/>
          <w:sz w:val="22"/>
          <w:szCs w:val="22"/>
        </w:rPr>
        <w:t xml:space="preserve">Laat dat laatste even hangen. Voor een deel van de zaal is dat een pijnlijk accurate beschrijving van hun functie, en dat besef is precies wat dit deel moet opleveren.</w:t>
      </w:r>
    </w:p>
    <w:p>
      <w:pPr>
        <w:spacing w:after="160"/>
      </w:pPr>
      <w:r>
        <w:rPr>
          <w:rFonts w:ascii="DM Sans" w:cs="DM Sans" w:eastAsia="DM Sans" w:hAnsi="DM Sans"/>
          <w:b/>
          <w:bCs/>
          <w:color w:val="14213D"/>
          <w:sz w:val="22"/>
          <w:szCs w:val="22"/>
        </w:rPr>
        <w:t xml:space="preserve">Tweede bezwaar dat komt:</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is typisch Amerikaans; hier werkt het anders."</w:t>
      </w:r>
      <w:r>
        <w:rPr>
          <w:rFonts w:ascii="DM Sans" w:cs="DM Sans" w:eastAsia="DM Sans" w:hAnsi="DM Sans"/>
          <w:color w:val="14213D"/>
          <w:sz w:val="22"/>
          <w:szCs w:val="22"/>
        </w:rPr>
        <w:t xml:space="preserve"> Neem het serieus, want er zit iets in — zie 3.6. Parkeer het tot de bespreking van de tenets.</w:t>
      </w:r>
    </w:p>
    <w:p>
      <w:pPr>
        <w:pStyle w:val="Heading3"/>
      </w:pPr>
      <w:r>
        <w:rPr>
          <w:rFonts w:ascii="DM Sans" w:cs="DM Sans" w:eastAsia="DM Sans" w:hAnsi="DM Sans"/>
          <w:color w:val="14213D"/>
          <w:sz w:val="22"/>
          <w:szCs w:val="22"/>
        </w:rPr>
        <w:t xml:space="preserve">3.3 Opdracht 1 — de ene zin (0:55 – 1:25)</w:t>
      </w:r>
    </w:p>
    <w:p>
      <w:pPr>
        <w:spacing w:after="160"/>
      </w:pPr>
      <w:r>
        <w:rPr>
          <w:rFonts w:ascii="DM Sans" w:cs="DM Sans" w:eastAsia="DM Sans" w:hAnsi="DM Sans"/>
          <w:color w:val="14213D"/>
          <w:sz w:val="22"/>
          <w:szCs w:val="22"/>
        </w:rPr>
        <w:t xml:space="preserve">Loop rond terwijl ze schrijven. De meeste eerste versies bevatten een werkwoord uit de toetsfamilie: bewaken, toetsen, adviseren, borgen. Wijs daar één keer klassikaal op vóór de nabespreking, dan herschrijft de helft spontaan.</w:t>
      </w:r>
    </w:p>
    <w:p>
      <w:pPr>
        <w:spacing w:after="160"/>
      </w:pPr>
      <w:r>
        <w:rPr>
          <w:rFonts w:ascii="DM Sans" w:cs="DM Sans" w:eastAsia="DM Sans" w:hAnsi="DM Sans"/>
          <w:b/>
          <w:bCs/>
          <w:color w:val="14213D"/>
          <w:sz w:val="22"/>
          <w:szCs w:val="22"/>
        </w:rPr>
        <w:t xml:space="preserve">Nabespreking:</w:t>
      </w:r>
      <w:r>
        <w:rPr>
          <w:rFonts w:ascii="DM Sans" w:cs="DM Sans" w:eastAsia="DM Sans" w:hAnsi="DM Sans"/>
          <w:color w:val="14213D"/>
          <w:sz w:val="22"/>
          <w:szCs w:val="22"/>
        </w:rPr>
        <w:t xml:space="preserve"> laat drie deelnemers hun zin voorlezen, en vraag de zaal per zin: </w:t>
      </w:r>
      <w:r>
        <w:rPr>
          <w:rFonts w:ascii="DM Sans" w:cs="DM Sans" w:eastAsia="DM Sans" w:hAnsi="DM Sans"/>
          <w:i/>
          <w:iCs/>
          <w:color w:val="14213D"/>
          <w:sz w:val="22"/>
          <w:szCs w:val="22"/>
        </w:rPr>
        <w:t xml:space="preserve">"Zou de directeur van dit bedrijf die zin kunnen navertellen?"</w:t>
      </w:r>
      <w:r>
        <w:rPr>
          <w:rFonts w:ascii="DM Sans" w:cs="DM Sans" w:eastAsia="DM Sans" w:hAnsi="DM Sans"/>
          <w:color w:val="14213D"/>
          <w:sz w:val="22"/>
          <w:szCs w:val="22"/>
        </w:rPr>
        <w:t xml:space="preserve"> Niet: is hij goed. Alleen dat.</w:t>
      </w:r>
    </w:p>
    <w:p>
      <w:pPr>
        <w:spacing w:after="160"/>
      </w:pPr>
      <w:r>
        <w:rPr>
          <w:rFonts w:ascii="DM Sans" w:cs="DM Sans" w:eastAsia="DM Sans" w:hAnsi="DM Sans"/>
          <w:b/>
          <w:bCs/>
          <w:color w:val="14213D"/>
          <w:sz w:val="22"/>
          <w:szCs w:val="22"/>
        </w:rPr>
        <w:t xml:space="preserve">Valkuil:</w:t>
      </w:r>
      <w:r>
        <w:rPr>
          <w:rFonts w:ascii="DM Sans" w:cs="DM Sans" w:eastAsia="DM Sans" w:hAnsi="DM Sans"/>
          <w:color w:val="14213D"/>
          <w:sz w:val="22"/>
          <w:szCs w:val="22"/>
        </w:rPr>
        <w:t xml:space="preserve"> dit kan uitlopen tot een half uur omdat iedereen zijn zin wil delen. Drie is genoeg. Zeg dat vooraf.</w:t>
      </w:r>
    </w:p>
    <w:p>
      <w:pPr>
        <w:pStyle w:val="Heading3"/>
      </w:pPr>
      <w:r>
        <w:rPr>
          <w:rFonts w:ascii="DM Sans" w:cs="DM Sans" w:eastAsia="DM Sans" w:hAnsi="DM Sans"/>
          <w:color w:val="14213D"/>
          <w:sz w:val="22"/>
          <w:szCs w:val="22"/>
        </w:rPr>
        <w:t xml:space="preserve">3.4 Opdracht 3 en de nabespreking (2:20 – 2:55) — het scharnier</w:t>
      </w:r>
    </w:p>
    <w:p>
      <w:pPr>
        <w:spacing w:after="160"/>
      </w:pPr>
      <w:r>
        <w:rPr>
          <w:rFonts w:ascii="DM Sans" w:cs="DM Sans" w:eastAsia="DM Sans" w:hAnsi="DM Sans"/>
          <w:color w:val="14213D"/>
          <w:sz w:val="22"/>
          <w:szCs w:val="22"/>
        </w:rPr>
        <w:t xml:space="preserve">Hier gebeurt het. Laat de tweetallen hun primaire toewijzingen op een flipover zetten en tel klassikaal.</w:t>
      </w:r>
    </w:p>
    <w:p>
      <w:pPr>
        <w:spacing w:after="160"/>
      </w:pPr>
      <w:r>
        <w:rPr>
          <w:rFonts w:ascii="DM Sans" w:cs="DM Sans" w:eastAsia="DM Sans" w:hAnsi="DM Sans"/>
          <w:color w:val="14213D"/>
          <w:sz w:val="22"/>
          <w:szCs w:val="22"/>
        </w:rPr>
        <w:t xml:space="preserve">De uitkomst is vrijwel altijd: Human Dynamics wint, IT Environment scoort nul of één. Zie U3 in het werkboek voor de referentietelling. Kleine afwijkingen zijn prima — discussieer niet over of O4 nu primair Human Dynamics of primair IT Environment is. Het patroon is de opbrengst, niet de precisie.</w:t>
      </w:r>
    </w:p>
    <w:p>
      <w:pPr>
        <w:spacing w:after="160"/>
      </w:pPr>
      <w:r>
        <w:rPr>
          <w:rFonts w:ascii="DM Sans" w:cs="DM Sans" w:eastAsia="DM Sans" w:hAnsi="DM Sans"/>
          <w:b/>
          <w:bCs/>
          <w:color w:val="14213D"/>
          <w:sz w:val="22"/>
          <w:szCs w:val="22"/>
        </w:rPr>
        <w:t xml:space="preserve">De vraag die je daarna stelt, en waarop je even niets zegt:</w:t>
      </w:r>
    </w:p>
    <w:p>
      <w:pPr>
        <w:spacing w:after="160"/>
      </w:pPr>
      <w:r>
        <w:rPr>
          <w:rFonts w:ascii="DM Sans" w:cs="DM Sans" w:eastAsia="DM Sans" w:hAnsi="DM Sans"/>
          <w:color w:val="14213D"/>
          <w:sz w:val="22"/>
          <w:szCs w:val="22"/>
        </w:rPr>
        <w:t xml:space="preserve">"Waar is jullie eigen functie op geselecteerd?"</w:t>
      </w:r>
    </w:p>
    <w:p>
      <w:pPr>
        <w:spacing w:after="160"/>
      </w:pPr>
      <w:r>
        <w:rPr>
          <w:rFonts w:ascii="DM Sans" w:cs="DM Sans" w:eastAsia="DM Sans" w:hAnsi="DM Sans"/>
          <w:b/>
          <w:bCs/>
          <w:color w:val="14213D"/>
          <w:sz w:val="22"/>
          <w:szCs w:val="22"/>
        </w:rPr>
        <w:t xml:space="preserve">Wat je hier absoluut niet moet doen:</w:t>
      </w:r>
      <w:r>
        <w:rPr>
          <w:rFonts w:ascii="DM Sans" w:cs="DM Sans" w:eastAsia="DM Sans" w:hAnsi="DM Sans"/>
          <w:color w:val="14213D"/>
          <w:sz w:val="22"/>
          <w:szCs w:val="22"/>
        </w:rPr>
        <w:t xml:space="preserve"> de conclusie zelf uitspreken voordat de telling op de flipover staat. Als jij zegt dat het over Human Dynamics gaat, is het jouw stelling. Als zij het tellen, is het hun bevinding. Het verschil in de rest van het niveau is groot.</w:t>
      </w:r>
    </w:p>
    <w:p>
      <w:pPr>
        <w:pStyle w:val="Heading3"/>
      </w:pPr>
      <w:r>
        <w:rPr>
          <w:rFonts w:ascii="DM Sans" w:cs="DM Sans" w:eastAsia="DM Sans" w:hAnsi="DM Sans"/>
          <w:color w:val="14213D"/>
          <w:sz w:val="22"/>
          <w:szCs w:val="22"/>
        </w:rPr>
        <w:t xml:space="preserve">3.5 Ethiek en de canons (3:20 – 3:35)</w:t>
      </w:r>
    </w:p>
    <w:p>
      <w:pPr>
        <w:spacing w:after="160"/>
      </w:pPr>
      <w:r>
        <w:rPr>
          <w:rFonts w:ascii="DM Sans" w:cs="DM Sans" w:eastAsia="DM Sans" w:hAnsi="DM Sans"/>
          <w:color w:val="14213D"/>
          <w:sz w:val="22"/>
          <w:szCs w:val="22"/>
        </w:rPr>
        <w:t xml:space="preserve">Houd het kort en concreet. Twee bepalingen zijn genoeg om de canons te laten leven:</w:t>
      </w:r>
    </w:p>
    <w:p>
      <w:pPr>
        <w:pStyle w:val="ListParagraph"/>
        <w:numPr>
          <w:ilvl w:val="0"/>
          <w:numId w:val="2"/>
        </w:numPr>
      </w:pPr>
      <w:r>
        <w:rPr>
          <w:rFonts w:ascii="DM Sans" w:cs="DM Sans" w:eastAsia="DM Sans" w:hAnsi="DM Sans"/>
          <w:b/>
          <w:bCs/>
          <w:color w:val="14213D"/>
          <w:sz w:val="22"/>
          <w:szCs w:val="22"/>
        </w:rPr>
        <w:t xml:space="preserve">Canon II:</w:t>
      </w:r>
      <w:r>
        <w:rPr>
          <w:rFonts w:ascii="DM Sans" w:cs="DM Sans" w:eastAsia="DM Sans" w:hAnsi="DM Sans"/>
          <w:color w:val="14213D"/>
          <w:sz w:val="22"/>
          <w:szCs w:val="22"/>
        </w:rPr>
        <w:t xml:space="preserve"> je mag opdrachtgevers niet opzettelijk of roekeloos misleiden over wat met jouw diensten haalbaar is.</w:t>
      </w:r>
    </w:p>
    <w:p>
      <w:pPr>
        <w:pStyle w:val="ListParagraph"/>
        <w:numPr>
          <w:ilvl w:val="0"/>
          <w:numId w:val="2"/>
        </w:numPr>
      </w:pPr>
      <w:r>
        <w:rPr>
          <w:rFonts w:ascii="DM Sans" w:cs="DM Sans" w:eastAsia="DM Sans" w:hAnsi="DM Sans"/>
          <w:b/>
          <w:bCs/>
          <w:color w:val="14213D"/>
          <w:sz w:val="22"/>
          <w:szCs w:val="22"/>
        </w:rPr>
        <w:t xml:space="preserve">Canon III:</w:t>
      </w:r>
      <w:r>
        <w:rPr>
          <w:rFonts w:ascii="DM Sans" w:cs="DM Sans" w:eastAsia="DM Sans" w:hAnsi="DM Sans"/>
          <w:color w:val="14213D"/>
          <w:sz w:val="22"/>
          <w:szCs w:val="22"/>
        </w:rPr>
        <w:t xml:space="preserve"> je zet je naam niet onder werk waarover je geen verantwoorde zeggenschap hebt.</w:t>
      </w:r>
    </w:p>
    <w:p>
      <w:pPr>
        <w:spacing w:after="160"/>
      </w:pPr>
      <w:r>
        <w:rPr>
          <w:rFonts w:ascii="DM Sans" w:cs="DM Sans" w:eastAsia="DM Sans" w:hAnsi="DM Sans"/>
          <w:color w:val="14213D"/>
          <w:sz w:val="22"/>
          <w:szCs w:val="22"/>
        </w:rPr>
        <w:t xml:space="preserve">Bij de tweede: vraag hoeveel deelnemers ooit een document met hun naam erop hebben zien rondgaan dat ze niet hadden geschreven. Dat is een korte, effectieve stilte.</w:t>
      </w:r>
    </w:p>
    <w:p>
      <w:pPr>
        <w:pStyle w:val="Heading3"/>
      </w:pPr>
      <w:r>
        <w:rPr>
          <w:rFonts w:ascii="DM Sans" w:cs="DM Sans" w:eastAsia="DM Sans" w:hAnsi="DM Sans"/>
          <w:color w:val="14213D"/>
          <w:sz w:val="22"/>
          <w:szCs w:val="22"/>
        </w:rPr>
        <w:t xml:space="preserve">3.6 De tenets — hier moet je eerlijk zijn (bij 3:20 of 4:20)</w:t>
      </w:r>
    </w:p>
    <w:p>
      <w:pPr>
        <w:spacing w:after="160"/>
      </w:pPr>
      <w:r>
        <w:rPr>
          <w:rFonts w:ascii="DM Sans" w:cs="DM Sans" w:eastAsia="DM Sans" w:hAnsi="DM Sans"/>
          <w:color w:val="14213D"/>
          <w:sz w:val="22"/>
          <w:szCs w:val="22"/>
        </w:rPr>
        <w:t xml:space="preserve">De tenet </w:t>
      </w:r>
      <w:r>
        <w:rPr>
          <w:rFonts w:ascii="DM Sans" w:cs="DM Sans" w:eastAsia="DM Sans" w:hAnsi="DM Sans"/>
          <w:b/>
          <w:bCs/>
          <w:color w:val="14213D"/>
          <w:sz w:val="22"/>
          <w:szCs w:val="22"/>
        </w:rPr>
        <w:t xml:space="preserve">"bouw dingen en bezit dingen, bestuur geen dingen"</w:t>
      </w:r>
      <w:r>
        <w:rPr>
          <w:rFonts w:ascii="DM Sans" w:cs="DM Sans" w:eastAsia="DM Sans" w:hAnsi="DM Sans"/>
          <w:color w:val="14213D"/>
          <w:sz w:val="22"/>
          <w:szCs w:val="22"/>
        </w:rPr>
        <w:t xml:space="preserve"> is een provocatie, en in een Nederlandse context — zeker in gereguleerde sectoren — is hij aanvechtbaar. Een pensioenuitvoerder heeft een architectuurgremium omdat DNB dat feitelijk verwacht, niet omdat iemand van toezicht houdt.</w:t>
      </w:r>
    </w:p>
    <w:p>
      <w:pPr>
        <w:spacing w:after="160"/>
      </w:pPr>
      <w:r>
        <w:rPr>
          <w:rFonts w:ascii="DM Sans" w:cs="DM Sans" w:eastAsia="DM Sans" w:hAnsi="DM Sans"/>
          <w:b/>
          <w:bCs/>
          <w:color w:val="14213D"/>
          <w:sz w:val="22"/>
          <w:szCs w:val="22"/>
        </w:rPr>
        <w:t xml:space="preserve">Doe niet alsof dat geen spanning is.</w:t>
      </w:r>
      <w:r>
        <w:rPr>
          <w:rFonts w:ascii="DM Sans" w:cs="DM Sans" w:eastAsia="DM Sans" w:hAnsi="DM Sans"/>
          <w:color w:val="14213D"/>
          <w:sz w:val="22"/>
          <w:szCs w:val="22"/>
        </w:rPr>
        <w:t xml:space="preserve"> De geloofwaardigheid van de hele cursus hangt hieraan: deelnemers die merken dat je een Amerikaans standpunt onbesproken doorgeeft, haken innerlijk af.</w:t>
      </w:r>
    </w:p>
    <w:p>
      <w:pPr>
        <w:spacing w:after="160"/>
      </w:pPr>
      <w:r>
        <w:rPr>
          <w:rFonts w:ascii="DM Sans" w:cs="DM Sans" w:eastAsia="DM Sans" w:hAnsi="DM Sans"/>
          <w:color w:val="14213D"/>
          <w:sz w:val="22"/>
          <w:szCs w:val="22"/>
        </w:rPr>
        <w:t xml:space="preserve">Formulering die werkt: "De BoK heeft hier een standpunt, en dat standpunt is niet neutraal. De onderliggende observatie klopt wel degelijk — architectuurteams die alleen toetsen, kunnen hun waarde niet aantonen en worden op termijn wegbezuinigd. Wat je met die observatie doet in een gereguleerde omgeving, is de vraag van deel 19. Vandaag hoef je het er niet mee eens te zijn; je moet hem alleen kennen."</w:t>
      </w:r>
    </w:p>
    <w:p>
      <w:pPr>
        <w:spacing w:after="160"/>
      </w:pPr>
      <w:r>
        <w:rPr>
          <w:rFonts w:ascii="DM Sans" w:cs="DM Sans" w:eastAsia="DM Sans" w:hAnsi="DM Sans"/>
          <w:color w:val="14213D"/>
          <w:sz w:val="22"/>
          <w:szCs w:val="22"/>
        </w:rPr>
        <w:t xml:space="preserve">Idem voor </w:t>
      </w:r>
      <w:r>
        <w:rPr>
          <w:rFonts w:ascii="DM Sans" w:cs="DM Sans" w:eastAsia="DM Sans" w:hAnsi="DM Sans"/>
          <w:b/>
          <w:bCs/>
          <w:color w:val="14213D"/>
          <w:sz w:val="22"/>
          <w:szCs w:val="22"/>
        </w:rPr>
        <w:t xml:space="preserve">"de klant is nooit intern"</w:t>
      </w:r>
      <w:r>
        <w:rPr>
          <w:rFonts w:ascii="DM Sans" w:cs="DM Sans" w:eastAsia="DM Sans" w:hAnsi="DM Sans"/>
          <w:color w:val="14213D"/>
          <w:sz w:val="22"/>
          <w:szCs w:val="22"/>
        </w:rPr>
        <w:t xml:space="preserve">. Bij Meridiaan is de klant de deelnemer, niet de afdeling Klantbediening. Dat onderscheid is bruikbaar en niet ideologisch — gebruik het zo.</w:t>
      </w:r>
    </w:p>
    <w:p>
      <w:pPr>
        <w:pStyle w:val="Heading3"/>
      </w:pPr>
      <w:r>
        <w:rPr>
          <w:rFonts w:ascii="DM Sans" w:cs="DM Sans" w:eastAsia="DM Sans" w:hAnsi="DM Sans"/>
          <w:color w:val="14213D"/>
          <w:sz w:val="22"/>
          <w:szCs w:val="22"/>
        </w:rPr>
        <w:t xml:space="preserve">3.7 Opdracht 6 (3:35 – 4:20)</w:t>
      </w:r>
    </w:p>
    <w:p>
      <w:pPr>
        <w:spacing w:after="160"/>
      </w:pPr>
      <w:r>
        <w:rPr>
          <w:rFonts w:ascii="DM Sans" w:cs="DM Sans" w:eastAsia="DM Sans" w:hAnsi="DM Sans"/>
          <w:color w:val="14213D"/>
          <w:sz w:val="22"/>
          <w:szCs w:val="22"/>
        </w:rPr>
        <w:t xml:space="preserve">De verleiding in elke groep is om bij "escaleren" te blijven staan. Duw door met: </w:t>
      </w:r>
      <w:r>
        <w:rPr>
          <w:rFonts w:ascii="DM Sans" w:cs="DM Sans" w:eastAsia="DM Sans" w:hAnsi="DM Sans"/>
          <w:i/>
          <w:iCs/>
          <w:color w:val="14213D"/>
          <w:sz w:val="22"/>
          <w:szCs w:val="22"/>
        </w:rPr>
        <w:t xml:space="preserve">aan wie, met welke boodschap, op welke termijn.</w:t>
      </w:r>
      <w:r>
        <w:rPr>
          <w:rFonts w:ascii="DM Sans" w:cs="DM Sans" w:eastAsia="DM Sans" w:hAnsi="DM Sans"/>
          <w:color w:val="14213D"/>
          <w:sz w:val="22"/>
          <w:szCs w:val="22"/>
        </w:rPr>
        <w:t xml:space="preserve"> Dat drieluik is het echte leerpunt.</w:t>
      </w:r>
    </w:p>
    <w:p>
      <w:pPr>
        <w:spacing w:after="160"/>
      </w:pPr>
      <w:r>
        <w:rPr>
          <w:rFonts w:ascii="DM Sans" w:cs="DM Sans" w:eastAsia="DM Sans" w:hAnsi="DM Sans"/>
          <w:b/>
          <w:bCs/>
          <w:color w:val="14213D"/>
          <w:sz w:val="22"/>
          <w:szCs w:val="22"/>
        </w:rPr>
        <w:t xml:space="preserve">Het inzicht dat je uit de nabespreking moet halen:</w:t>
      </w:r>
      <w:r>
        <w:rPr>
          <w:rFonts w:ascii="DM Sans" w:cs="DM Sans" w:eastAsia="DM Sans" w:hAnsi="DM Sans"/>
          <w:color w:val="14213D"/>
          <w:sz w:val="22"/>
          <w:szCs w:val="22"/>
        </w:rPr>
        <w:t xml:space="preserve"> melden en tegenhouden zijn twee verschillende dingen, en alleen het eerste is een plicht. Vrijwel elke groep gaat er in eerste instantie van uit dat integer handelen betekent dat de release moet worden geblokkeerd. Als je dat rechtzet, verandert er iets in hoe de zaal naar de rest van de cursus kijkt — het maakt het beroepsethische kader werkbaar in plaats van heldhaftig.</w:t>
      </w:r>
    </w:p>
    <w:p>
      <w:pPr>
        <w:spacing w:after="160"/>
      </w:pPr>
      <w:r>
        <w:rPr>
          <w:rFonts w:ascii="DM Sans" w:cs="DM Sans" w:eastAsia="DM Sans" w:hAnsi="DM Sans"/>
          <w:b/>
          <w:bCs/>
          <w:color w:val="14213D"/>
          <w:sz w:val="22"/>
          <w:szCs w:val="22"/>
        </w:rPr>
        <w:t xml:space="preserve">Gevoelig punt:</w:t>
      </w:r>
      <w:r>
        <w:rPr>
          <w:rFonts w:ascii="DM Sans" w:cs="DM Sans" w:eastAsia="DM Sans" w:hAnsi="DM Sans"/>
          <w:color w:val="14213D"/>
          <w:sz w:val="22"/>
          <w:szCs w:val="22"/>
        </w:rPr>
        <w:t xml:space="preserve"> in vrijwel elke groep zit iemand die dit zelf heeft meegemaakt en het niet heeft gemeld. Ga daar niet naar op zoek en zet niemand op de plaat. Als iemand het uit zichzelf inbrengt, behandel het feitelijk en zonder oordeel; dat is de norm die je voor de rest van de cursus zet.</w:t>
      </w:r>
    </w:p>
    <w:p>
      <w:pPr>
        <w:pStyle w:val="Heading3"/>
      </w:pPr>
      <w:r>
        <w:rPr>
          <w:rFonts w:ascii="DM Sans" w:cs="DM Sans" w:eastAsia="DM Sans" w:hAnsi="DM Sans"/>
          <w:color w:val="14213D"/>
          <w:sz w:val="22"/>
          <w:szCs w:val="22"/>
        </w:rPr>
        <w:t xml:space="preserve">3.8 Nulmeting (4:35 – 4:50)</w:t>
      </w:r>
    </w:p>
    <w:p>
      <w:pPr>
        <w:spacing w:after="160"/>
      </w:pPr>
      <w:r>
        <w:rPr>
          <w:rFonts w:ascii="DM Sans" w:cs="DM Sans" w:eastAsia="DM Sans" w:hAnsi="DM Sans"/>
          <w:color w:val="14213D"/>
          <w:sz w:val="22"/>
          <w:szCs w:val="22"/>
        </w:rPr>
        <w:t xml:space="preserve">Zeg er expliciet bij: dit blad komt terug in deel 23 en is de basis van je dossier in niveau 3. Deelnemers die het invullen "voor de vorm" hebben straks niets.</w:t>
      </w:r>
    </w:p>
    <w:p>
      <w:pPr>
        <w:spacing w:after="160"/>
      </w:pPr>
      <w:r>
        <w:rPr>
          <w:rFonts w:ascii="DM Sans" w:cs="DM Sans" w:eastAsia="DM Sans" w:hAnsi="DM Sans"/>
          <w:color w:val="14213D"/>
          <w:sz w:val="22"/>
          <w:szCs w:val="22"/>
        </w:rPr>
        <w:t xml:space="preserve">Handhaaf de bewijsregel hardop: geen situatie, één punt eraf. Bij een board gebeurt precies dit.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w:t>
      </w:r>
    </w:p>
    <w:p>
      <w:pPr>
        <w:spacing w:after="160"/>
      </w:pPr>
      <w:r>
        <w:rPr>
          <w:rFonts w:ascii="DM Sans" w:cs="DM Sans" w:eastAsia="DM Sans" w:hAnsi="DM Sans"/>
          <w:color w:val="14213D"/>
          <w:sz w:val="22"/>
          <w:szCs w:val="22"/>
        </w:rPr>
        <w:t xml:space="preserve">Deel 1 kent geen formele toetsing. Wat je wél vastlegt voor de dossiervorming later: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ene zin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opnieuw beoordeeld in deel 10 en deel 23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Nulmeting (opdracht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vertrekpunt voor niveau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Deelname aan opdracht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docentnotitie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signaal voor ethische casuïstiek in deel 27</w:t>
            </w:r>
          </w:p>
        </w:tc>
      </w:tr>
    </w:tbl>
    <w:p>
      <w:pPr>
        <w:spacing w:after="160"/>
      </w:pPr>
    </w:p>
    <w:p>
      <w:pPr>
        <w:spacing w:after="160"/>
      </w:pPr>
      <w:r>
        <w:rPr>
          <w:rFonts w:ascii="DM Sans" w:cs="DM Sans" w:eastAsia="DM Sans" w:hAnsi="DM Sans"/>
          <w:color w:val="14213D"/>
          <w:sz w:val="22"/>
          <w:szCs w:val="22"/>
        </w:rPr>
        <w:t xml:space="preserve">Voor de eindbeoordeling van niveau 1 (deel 10) tellen alleen de capstone en het examenproefwerk mee.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Flipover of whiteboard voor de telling bij opdracht 3 (essentieel — digitaal werkt hier slechter)</w:t>
      </w:r>
    </w:p>
    <w:p>
      <w:pPr>
        <w:pStyle w:val="ListParagraph"/>
        <w:numPr>
          <w:ilvl w:val="0"/>
          <w:numId w:val="2"/>
        </w:numPr>
      </w:pPr>
      <w:r>
        <w:rPr>
          <w:rFonts w:ascii="DM Sans" w:cs="DM Sans" w:eastAsia="DM Sans" w:hAnsi="DM Sans"/>
          <w:color w:val="14213D"/>
          <w:sz w:val="22"/>
          <w:szCs w:val="22"/>
        </w:rPr>
        <w:t xml:space="preserve">Uitgeprinte functieprofiel-bijlage van Claudette, één per tweetal, als die als bijlage is opgenomen</w:t>
      </w:r>
    </w:p>
    <w:p>
      <w:pPr>
        <w:pStyle w:val="ListParagraph"/>
        <w:numPr>
          <w:ilvl w:val="0"/>
          <w:numId w:val="2"/>
        </w:numPr>
      </w:pPr>
      <w:r>
        <w:rPr>
          <w:rFonts w:ascii="DM Sans" w:cs="DM Sans" w:eastAsia="DM Sans" w:hAnsi="DM Sans"/>
          <w:color w:val="14213D"/>
          <w:sz w:val="22"/>
          <w:szCs w:val="22"/>
        </w:rPr>
        <w:t xml:space="preserve">Deelnemersmappen voor het bewaren van opdracht 1 en 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Licentie en gebruik van het bronmateriaal — lezen vóór je dit commercieel inzet</w:t>
      </w:r>
    </w:p>
    <w:p>
      <w:pPr>
        <w:spacing w:after="160"/>
      </w:pPr>
      <w:r>
        <w:rPr>
          <w:rFonts w:ascii="DM Sans" w:cs="DM Sans" w:eastAsia="DM Sans" w:hAnsi="DM Sans"/>
          <w:b/>
          <w:bCs/>
          <w:color w:val="14213D"/>
          <w:sz w:val="22"/>
          <w:szCs w:val="22"/>
        </w:rPr>
        <w:t xml:space="preserve">De BTABoK 3.0 is door Iasa gepubliceerd onder een Creative Commons Attribution-NonCommercial 4.0-licentie.</w:t>
      </w:r>
      <w:r>
        <w:rPr>
          <w:rFonts w:ascii="DM Sans" w:cs="DM Sans" w:eastAsia="DM Sans" w:hAnsi="DM Sans"/>
          <w:color w:val="14213D"/>
          <w:sz w:val="22"/>
          <w:szCs w:val="22"/>
        </w:rPr>
        <w:t xml:space="preserve"> Dat is een wezenlijk gegeven voor Ductus en het verdient een expliciet besluit voordat dit materiaal in de markt gaat.</w:t>
      </w:r>
    </w:p>
    <w:p>
      <w:pPr>
        <w:spacing w:after="160"/>
      </w:pPr>
      <w:r>
        <w:rPr>
          <w:rFonts w:ascii="DM Sans" w:cs="DM Sans" w:eastAsia="DM Sans" w:hAnsi="DM Sans"/>
          <w:color w:val="14213D"/>
          <w:sz w:val="22"/>
          <w:szCs w:val="22"/>
        </w:rPr>
        <w:t xml:space="preserve">Wat dat praktisch betekent:</w:t>
      </w:r>
    </w:p>
    <w:p>
      <w:pPr>
        <w:pStyle w:val="ListParagraph"/>
        <w:numPr>
          <w:ilvl w:val="0"/>
          <w:numId w:val="2"/>
        </w:numPr>
      </w:pPr>
      <w:r>
        <w:rPr>
          <w:rFonts w:ascii="DM Sans" w:cs="DM Sans" w:eastAsia="DM Sans" w:hAnsi="DM Sans"/>
          <w:b/>
          <w:bCs/>
          <w:color w:val="14213D"/>
          <w:sz w:val="22"/>
          <w:szCs w:val="22"/>
        </w:rPr>
        <w:t xml:space="preserve">Attributie is verplicht.</w:t>
      </w:r>
      <w:r>
        <w:rPr>
          <w:rFonts w:ascii="DM Sans" w:cs="DM Sans" w:eastAsia="DM Sans" w:hAnsi="DM Sans"/>
          <w:color w:val="14213D"/>
          <w:sz w:val="22"/>
          <w:szCs w:val="22"/>
        </w:rPr>
        <w:t xml:space="preserve"> Elke plaats waar we op de BoK steunen, vermeldt Iasa als bron. Dat doen we in de reader en in de docentenhandleiding.</w:t>
      </w:r>
    </w:p>
    <w:p>
      <w:pPr>
        <w:pStyle w:val="ListParagraph"/>
        <w:numPr>
          <w:ilvl w:val="0"/>
          <w:numId w:val="2"/>
        </w:numPr>
      </w:pPr>
      <w:r>
        <w:rPr>
          <w:rFonts w:ascii="DM Sans" w:cs="DM Sans" w:eastAsia="DM Sans" w:hAnsi="DM Sans"/>
          <w:b/>
          <w:bCs/>
          <w:color w:val="14213D"/>
          <w:sz w:val="22"/>
          <w:szCs w:val="22"/>
        </w:rPr>
        <w:t xml:space="preserve">De NonCommercial-clausule is het knelpunt.</w:t>
      </w:r>
      <w:r>
        <w:rPr>
          <w:rFonts w:ascii="DM Sans" w:cs="DM Sans" w:eastAsia="DM Sans" w:hAnsi="DM Sans"/>
          <w:color w:val="14213D"/>
          <w:sz w:val="22"/>
          <w:szCs w:val="22"/>
        </w:rPr>
        <w:t xml:space="preserve"> CC BY-NC staat afgeleide werken toe, maar niet voor commercieel gebruik. Een betaalde cursus is commercieel gebruik. Dat raakt niet alleen letterlijk overgenomen tekst maar in beginsel ook bewerkingen daarvan — en de canvases in het bijzonder.</w:t>
      </w:r>
    </w:p>
    <w:p>
      <w:pPr>
        <w:pStyle w:val="ListParagraph"/>
        <w:numPr>
          <w:ilvl w:val="0"/>
          <w:numId w:val="2"/>
        </w:numPr>
      </w:pPr>
      <w:r>
        <w:rPr>
          <w:rFonts w:ascii="DM Sans" w:cs="DM Sans" w:eastAsia="DM Sans" w:hAnsi="DM Sans"/>
          <w:b/>
          <w:bCs/>
          <w:color w:val="14213D"/>
          <w:sz w:val="22"/>
          <w:szCs w:val="22"/>
        </w:rPr>
        <w:t xml:space="preserve">Feiten en ideeën vallen buiten het auteursrecht.</w:t>
      </w:r>
      <w:r>
        <w:rPr>
          <w:rFonts w:ascii="DM Sans" w:cs="DM Sans" w:eastAsia="DM Sans" w:hAnsi="DM Sans"/>
          <w:color w:val="14213D"/>
          <w:sz w:val="22"/>
          <w:szCs w:val="22"/>
        </w:rPr>
        <w:t xml:space="preserve"> Dat de BoK vijf pijlers kent en hoe die heten, is een feit; het is geen inbreuk om dat in eigen woorden te onderwijzen. De grens ligt bij het overnemen of bewerken van de uitdrukkingsvorm: teksten, canvasontwerpen, figuren en tabelindelingen.</w:t>
      </w:r>
    </w:p>
    <w:p>
      <w:pPr>
        <w:pStyle w:val="ListParagraph"/>
        <w:numPr>
          <w:ilvl w:val="0"/>
          <w:numId w:val="2"/>
        </w:numPr>
      </w:pPr>
      <w:r>
        <w:rPr>
          <w:rFonts w:ascii="DM Sans" w:cs="DM Sans" w:eastAsia="DM Sans" w:hAnsi="DM Sans"/>
          <w:b/>
          <w:bCs/>
          <w:color w:val="14213D"/>
          <w:sz w:val="22"/>
          <w:szCs w:val="22"/>
        </w:rPr>
        <w:t xml:space="preserve">Er is een geregelde route.</w:t>
      </w:r>
      <w:r>
        <w:rPr>
          <w:rFonts w:ascii="DM Sans" w:cs="DM Sans" w:eastAsia="DM Sans" w:hAnsi="DM Sans"/>
          <w:color w:val="14213D"/>
          <w:sz w:val="22"/>
          <w:szCs w:val="22"/>
        </w:rPr>
        <w:t xml:space="preserve"> Iasa kent een accreditatie- en partnerprogramma voor organisaties die het materiaal commercieel willen aanbieden, en verwijst voor licentiëring naar contact met Iasa.</w:t>
      </w:r>
    </w:p>
    <w:p>
      <w:pPr>
        <w:spacing w:after="160"/>
      </w:pPr>
      <w:r>
        <w:rPr>
          <w:rFonts w:ascii="DM Sans" w:cs="DM Sans" w:eastAsia="DM Sans" w:hAnsi="DM Sans"/>
          <w:b/>
          <w:bCs/>
          <w:color w:val="14213D"/>
          <w:sz w:val="22"/>
          <w:szCs w:val="22"/>
        </w:rPr>
        <w:t xml:space="preserve">Werkwijze die we in dit cursusmateriaal aanhouden:</w:t>
      </w:r>
      <w:r>
        <w:rPr>
          <w:rFonts w:ascii="DM Sans" w:cs="DM Sans" w:eastAsia="DM Sans" w:hAnsi="DM Sans"/>
          <w:color w:val="14213D"/>
          <w:sz w:val="22"/>
          <w:szCs w:val="22"/>
        </w:rPr>
        <w:t xml:space="preserve"> alle teksten zijn eigen formuleringen, alle figuren zijn eigen tekeningen, alle casuïstiek is origineel, en canvases worden nagebouwd als eigen Ductus-werkvormen met bronvermelding in plaats van gereproduceerd. Dat beperkt de blootstelling aanzienlijk, maar neemt de NC-vraag niet volledig weg.</w:t>
      </w:r>
    </w:p>
    <w:p>
      <w:pPr>
        <w:spacing w:after="160"/>
      </w:pPr>
      <w:r>
        <w:rPr>
          <w:rFonts w:ascii="DM Sans" w:cs="DM Sans" w:eastAsia="DM Sans" w:hAnsi="DM Sans"/>
          <w:b/>
          <w:bCs/>
          <w:color w:val="14213D"/>
          <w:sz w:val="22"/>
          <w:szCs w:val="22"/>
        </w:rPr>
        <w:t xml:space="preserve">Advies:</w:t>
      </w:r>
      <w:r>
        <w:rPr>
          <w:rFonts w:ascii="DM Sans" w:cs="DM Sans" w:eastAsia="DM Sans" w:hAnsi="DM Sans"/>
          <w:color w:val="14213D"/>
          <w:sz w:val="22"/>
          <w:szCs w:val="22"/>
        </w:rPr>
        <w:t xml:space="preserve"> leg de accreditatie- of licentievraag bij Iasa neer vóór de eerste betaalde uitvoering, en laat de licentievoorwaarden bij twijfel toetsen door een jurist. Dit is een inschatting op basis van de gepubliceerde licentie, geen juridisch advies.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Vooruitblik voor de docent</w:t>
      </w:r>
    </w:p>
    <w:p>
      <w:pPr>
        <w:spacing w:after="160"/>
      </w:pPr>
      <w:r>
        <w:rPr>
          <w:rFonts w:ascii="DM Sans" w:cs="DM Sans" w:eastAsia="DM Sans" w:hAnsi="DM Sans"/>
          <w:color w:val="14213D"/>
          <w:sz w:val="22"/>
          <w:szCs w:val="22"/>
        </w:rPr>
        <w:t xml:space="preserve">Deel 2 opent met de opdracht die Bart aan Claudette geeft: leg in twintig minuten aan het MT uit hoe Meridiaan geld verdient. Bereid je voor door de pensioenbedrijfsmodel-bijlage bij deel 2 door te nemen; deelnemers uit andere sectoren hebben daar een vertaalslag bij nodig en de handleiding van deel 2 geeft daarvoor drie alternatieve organisatieprofielen.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2026-08-17T11:48:16.843Z</dcterms:created>
  <dcterms:modified xsi:type="dcterms:W3CDTF">2026-08-17T11:48:16.843Z</dcterms:modified>
</cp:coreProperties>
</file>

<file path=docProps/custom.xml><?xml version="1.0" encoding="utf-8"?>
<Properties xmlns="http://schemas.openxmlformats.org/officeDocument/2006/custom-properties" xmlns:vt="http://schemas.openxmlformats.org/officeDocument/2006/docPropsVTypes"/>
</file>