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16 — Docentenhandleiding</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rPr>
          <w:rFonts w:ascii="DM Sans" w:cs="DM Sans" w:eastAsia="DM Sans" w:hAnsi="DM Sans"/>
          <w:color w:val="14213D"/>
          <w:sz w:val="22"/>
          <w:szCs w:val="22"/>
        </w:rPr>
        <w:t xml:space="preserve">Deel 16 — Value model II</w:t>
      </w:r>
    </w:p>
    <w:p>
      <w:pPr>
        <w:spacing w:after="160"/>
      </w:pPr>
      <w:r>
        <w:rPr>
          <w:rFonts w:ascii="DM Sans" w:cs="DM Sans" w:eastAsia="DM Sans" w:hAnsi="DM Sans"/>
          <w:b/>
          <w:bCs/>
          <w:color w:val="14213D"/>
          <w:sz w:val="22"/>
          <w:szCs w:val="22"/>
        </w:rPr>
        <w:t xml:space="preserve">Niveau 2 — Engagement, waarde en specialisatie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w:t>
      </w:r>
    </w:p>
    <w:p>
      <w:pPr>
        <w:spacing w:after="160"/>
      </w:pPr>
      <w:r>
        <w:rPr>
          <w:rFonts w:ascii="DM Sans" w:cs="DM Sans" w:eastAsia="DM Sans" w:hAnsi="DM Sans"/>
          <w:b/>
          <w:bCs/>
          <w:color w:val="14213D"/>
          <w:sz w:val="22"/>
          <w:szCs w:val="22"/>
        </w:rPr>
        <w:t xml:space="preserve">Hoofddoel:</w:t>
      </w:r>
      <w:r>
        <w:rPr>
          <w:rFonts w:ascii="DM Sans" w:cs="DM Sans" w:eastAsia="DM Sans" w:hAnsi="DM Sans"/>
          <w:color w:val="14213D"/>
          <w:sz w:val="22"/>
          <w:szCs w:val="22"/>
        </w:rPr>
        <w:t xml:space="preserve"> deelnemers moeten technische schuld kunnen uitleggen aan een niet-technisch publiek via de leningmetafoor, en de architectuur-dekkingsgraad als bruikbaar getal kunnen berekenen voor een eigen risicogebied.</w:t>
      </w:r>
    </w:p>
    <w:p>
      <w:pPr>
        <w:spacing w:after="160"/>
      </w:pPr>
      <w:r>
        <w:rPr>
          <w:rFonts w:ascii="DM Sans" w:cs="DM Sans" w:eastAsia="DM Sans" w:hAnsi="DM Sans"/>
          <w:b/>
          <w:bCs/>
          <w:color w:val="14213D"/>
          <w:sz w:val="22"/>
          <w:szCs w:val="22"/>
        </w:rPr>
        <w:t xml:space="preserve">Dit is een conceptueel dicht deel</w:t>
      </w:r>
      <w:r>
        <w:rPr>
          <w:rFonts w:ascii="DM Sans" w:cs="DM Sans" w:eastAsia="DM Sans" w:hAnsi="DM Sans"/>
          <w:color w:val="14213D"/>
          <w:sz w:val="22"/>
          <w:szCs w:val="22"/>
        </w:rPr>
        <w:t xml:space="preserve"> — vier nieuwe begrippen in één dagdeel, elk met een eigen instrument. Bewaak het tempo; het is beter om structurele complexiteit (16.5) kort te behandelen dan om aan het eind van het dagdeel door de tijd heen te zijn voor de dekkingsgraad, die het meest onderscheidende onderdeel van dit deel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één dagdeel (4 uur)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 – 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portefeuillevraag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verhaal + slides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 – 0:35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Technische schuld als financieel begrip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0:35 – 0:50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 — de schuldmetafoor toepassen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0:50 – 1:05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1:05 – 1:25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Investeringsplanning op portefeuilleniveau</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1:25 – 1:40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1:40 – 2:05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 — de investeringsportefeuille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2:05 – 2:20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2:20 – 2:35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Structurele complexiteit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2:35 – 2:50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 — structurele complexiteit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2:50 – 3:00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3:00 – 3:20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architectuur-dekkingsgraad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3:20 – 3:40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4 — je eigen dekkingsgraad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3:40 – 3:55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4 — </w:t>
            </w:r>
            <w:r>
              <w:rPr>
                <w:rFonts w:ascii="DM Sans" w:cs="DM Sans" w:eastAsia="DM Sans" w:hAnsi="DM Sans"/>
                <w:i/>
                <w:iCs/>
                <w:color w:val="14213D"/>
                <w:sz w:val="22"/>
                <w:szCs w:val="22"/>
              </w:rPr>
              <w:t xml:space="preserve">het scharnier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3:55 – 4:15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Risicomethoden; het antwoord aan Bart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4:15 – 4:30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Vooruitblik deel 17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Technische schuld (0:15 – 1:05)</w:t>
      </w:r>
    </w:p>
    <w:p>
      <w:pPr>
        <w:spacing w:after="160"/>
      </w:pPr>
      <w:r>
        <w:rPr>
          <w:rFonts w:ascii="DM Sans" w:cs="DM Sans" w:eastAsia="DM Sans" w:hAnsi="DM Sans"/>
          <w:b/>
          <w:bCs/>
          <w:color w:val="14213D"/>
          <w:sz w:val="22"/>
          <w:szCs w:val="22"/>
        </w:rPr>
        <w:t xml:space="preserve">Benadruk expliciet dat technische schuld niet per definitie fout is.</w:t>
      </w:r>
      <w:r>
        <w:rPr>
          <w:rFonts w:ascii="DM Sans" w:cs="DM Sans" w:eastAsia="DM Sans" w:hAnsi="DM Sans"/>
          <w:color w:val="14213D"/>
          <w:sz w:val="22"/>
          <w:szCs w:val="22"/>
        </w:rPr>
        <w:t xml:space="preserve"> Een deel van de zaal gebruikt de term in de praktijk als synoniem voor "slecht werk", en dat frame maakt het gesprek met niet-technische stakeholders onnodig defensief. De leningmetafoor werkt juist omdat lenen normaal is, zolang je weet dat je leent en een plan hebt om af te lossen.</w:t>
      </w:r>
    </w:p>
    <w:p>
      <w:pPr>
        <w:pStyle w:val="Heading3"/>
      </w:pPr>
      <w:r>
        <w:rPr>
          <w:rFonts w:ascii="DM Sans" w:cs="DM Sans" w:eastAsia="DM Sans" w:hAnsi="DM Sans"/>
          <w:color w:val="14213D"/>
          <w:sz w:val="22"/>
          <w:szCs w:val="22"/>
        </w:rPr>
        <w:t xml:space="preserve">3.2 Investeringsportefeuille en opdracht 2 (1:05 – 2:20)</w:t>
      </w:r>
    </w:p>
    <w:p>
      <w:pPr>
        <w:spacing w:after="160"/>
      </w:pPr>
      <w:r>
        <w:rPr>
          <w:rFonts w:ascii="DM Sans" w:cs="DM Sans" w:eastAsia="DM Sans" w:hAnsi="DM Sans"/>
          <w:b/>
          <w:bCs/>
          <w:color w:val="14213D"/>
          <w:sz w:val="22"/>
          <w:szCs w:val="22"/>
        </w:rPr>
        <w:t xml:space="preserve">Verwacht dat groepen bij opdracht 2 aanvankelijk moeite hebben met het onderscheid tussen renderend en beschermend</w:t>
      </w:r>
      <w:r>
        <w:rPr>
          <w:rFonts w:ascii="DM Sans" w:cs="DM Sans" w:eastAsia="DM Sans" w:hAnsi="DM Sans"/>
          <w:color w:val="14213D"/>
          <w:sz w:val="22"/>
          <w:szCs w:val="22"/>
        </w:rPr>
        <w:t xml:space="preserve"> (dezelfde verwarring als in deel 3, niveau 1). Herinner kort aan de definities als dit misgaat.</w:t>
      </w:r>
    </w:p>
    <w:p>
      <w:pPr>
        <w:pStyle w:val="Heading3"/>
      </w:pPr>
      <w:r>
        <w:rPr>
          <w:rFonts w:ascii="DM Sans" w:cs="DM Sans" w:eastAsia="DM Sans" w:hAnsi="DM Sans"/>
          <w:color w:val="14213D"/>
          <w:sz w:val="22"/>
          <w:szCs w:val="22"/>
        </w:rPr>
        <w:t xml:space="preserve">3.3 De architectuur-dekkingsgraad en opdracht 4 (3:00 – 3:55) — het scharnier</w:t>
      </w:r>
    </w:p>
    <w:p>
      <w:pPr>
        <w:spacing w:after="160"/>
      </w:pPr>
      <w:r>
        <w:rPr>
          <w:rFonts w:ascii="DM Sans" w:cs="DM Sans" w:eastAsia="DM Sans" w:hAnsi="DM Sans"/>
          <w:b/>
          <w:bCs/>
          <w:color w:val="14213D"/>
          <w:sz w:val="22"/>
          <w:szCs w:val="22"/>
        </w:rPr>
        <w:t xml:space="preserve">Dit is het onderdeel dat het langst blijft hangen, dus geef het de meeste ruimte in de nabespreking.</w:t>
      </w:r>
      <w:r>
        <w:rPr>
          <w:rFonts w:ascii="DM Sans" w:cs="DM Sans" w:eastAsia="DM Sans" w:hAnsi="DM Sans"/>
          <w:color w:val="14213D"/>
          <w:sz w:val="22"/>
          <w:szCs w:val="22"/>
        </w:rPr>
        <w:t xml:space="preserve"> Vraag expliciet: "Voelde de uitkomst als een verrassing?" Bij de meeste deelnemers valt de berekende dekkingsgraad lager uit dan hun onderbuikgevoel — net als bij de nulmeting in deel 1 van niveau 1.</w:t>
      </w:r>
    </w:p>
    <w:p>
      <w:pPr>
        <w:spacing w:after="160"/>
      </w:pPr>
      <w:r>
        <w:rPr>
          <w:rFonts w:ascii="DM Sans" w:cs="DM Sans" w:eastAsia="DM Sans" w:hAnsi="DM Sans"/>
          <w:b/>
          <w:bCs/>
          <w:color w:val="14213D"/>
          <w:sz w:val="22"/>
          <w:szCs w:val="22"/>
        </w:rPr>
        <w:t xml:space="preserve">Als de groep bekend is met financiële rapportage</w:t>
      </w:r>
      <w:r>
        <w:rPr>
          <w:rFonts w:ascii="DM Sans" w:cs="DM Sans" w:eastAsia="DM Sans" w:hAnsi="DM Sans"/>
          <w:color w:val="14213D"/>
          <w:sz w:val="22"/>
          <w:szCs w:val="22"/>
        </w:rPr>
        <w:t xml:space="preserve"> (bijvoorbeeld deelnemers die zelf bij een pensioenfonds of verzekeraar werken), laat de analogie extra goed werken — vraag hen expliciet hoe hun eigen organisatie op een dekkingsgraad onder de streefwaarde reageert, en spiegel dat aan hoe architectuurrisico's doorgaans worden behandeld.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Investeringsportefeuille (opdracht 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referentie voor deel 20 (volwassenheid)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Dekkingsgraadberekening (opdracht 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kern van het dossier voor niveau 3</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Benodigdheden</w:t>
      </w:r>
    </w:p>
    <w:p>
      <w:pPr>
        <w:pStyle w:val="ListParagraph"/>
        <w:numPr>
          <w:ilvl w:val="0"/>
          <w:numId w:val="2"/>
        </w:numPr>
      </w:pPr>
      <w:r>
        <w:rPr>
          <w:rFonts w:ascii="DM Sans" w:cs="DM Sans" w:eastAsia="DM Sans" w:hAnsi="DM Sans"/>
          <w:color w:val="14213D"/>
          <w:sz w:val="22"/>
          <w:szCs w:val="22"/>
        </w:rPr>
        <w:t xml:space="preserve">Geen specifieke materialen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Vooruitblik voor de docent</w:t>
      </w:r>
    </w:p>
    <w:p>
      <w:pPr>
        <w:spacing w:after="160"/>
      </w:pPr>
      <w:r>
        <w:rPr>
          <w:rFonts w:ascii="DM Sans" w:cs="DM Sans" w:eastAsia="DM Sans" w:hAnsi="DM Sans"/>
          <w:color w:val="14213D"/>
          <w:sz w:val="22"/>
          <w:szCs w:val="22"/>
        </w:rPr>
        <w:t xml:space="preserve">Deel 17 opent het operating model: besluiten, ontwerp, patronenbibliotheek, requirements en stakeholders — nu behandeld als doorlopend operationeel ritme in plaats van eenmalige instrumenten. Het bouwt rechtstreeks voort op het besluitenlogboek (deel 7) en de stakeholderkaart (deel 4), die hier worden opgeschaald naar continu gebruik binnen een lopend programma. Bereid je voor door de reader van deel 17 door te nemen.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2026-08-17T11:48:23.575Z</dcterms:created>
  <dcterms:modified xsi:type="dcterms:W3CDTF">2026-08-17T11:48:23.575Z</dcterms:modified>
</cp:coreProperties>
</file>

<file path=docProps/custom.xml><?xml version="1.0" encoding="utf-8"?>
<Properties xmlns="http://schemas.openxmlformats.org/officeDocument/2006/custom-properties" xmlns:vt="http://schemas.openxmlformats.org/officeDocument/2006/docPropsVTypes"/>
</file>