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Toolbijlage</w:t>
      </w:r>
    </w:p>
    <w:p>
      <w:pPr>
        <w:spacing w:after="800" w:before="200"/>
        <w:jc w:val="center"/>
      </w:pPr>
      <w:r>
        <w:rPr>
          <w:rFonts w:ascii="DM Sans" w:cs="DM Sans" w:eastAsia="DM Sans" w:hAnsi="DM Sans"/>
          <w:color w:val="55606F"/>
          <w:sz w:val="26"/>
          <w:szCs w:val="26"/>
        </w:rPr>
        <w:t xml:space="preserve">Excalidraw-referentiemateriaal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BTABoK — Toolbijlage</w:t>
      </w:r>
    </w:p>
    <w:p>
      <w:pPr>
        <w:pStyle w:val="Heading2"/>
      </w:pPr>
      <w:r>
        <w:rPr>
          <w:rFonts w:ascii="DM Sans" w:cs="DM Sans" w:eastAsia="DM Sans" w:hAnsi="DM Sans"/>
          <w:color w:val="14213D"/>
          <w:sz w:val="22"/>
          <w:szCs w:val="22"/>
        </w:rPr>
        <w:t xml:space="preserve">Excalidraw voor de Ductus-werkvormen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Positionering.</w:t>
      </w:r>
      <w:r>
        <w:rPr>
          <w:rFonts w:ascii="DM Sans" w:cs="DM Sans" w:eastAsia="DM Sans" w:hAnsi="DM Sans"/>
          <w:i/>
          <w:iCs/>
          <w:color w:val="14213D"/>
          <w:sz w:val="22"/>
          <w:szCs w:val="22"/>
        </w:rPr>
        <w:t xml:space="preserve"> Deze cursus is toolneutraal opgezet: de BTABoK zelf schrijft geen software voor, en geen enkel deel veronderstelt dat u met een specifiek pakket werkt. Anders dan bij TOGAF/ArchiMate (Archi) of architecture-as-code (Structurizr) bestaat er voor de BTABoK geen voor de hand liggend "hét tool" — de vijf pijlers zijn breed en tool-agnostisch, en de examens (CITA-F/CITA-A/CITA-S/CITA-P) toetsen het denkwerk, niet een softwarevaardigheid. Wat wél door de dertig delen heen terugkomt, is een vaste familie van korte, visuele Ductus-werkvormen — het verdienmodelblad, de stakeholderkaart, het besluitenlogboek, de klantreiskaart, de roadmapkaart, het praktijkcharter, en meer — telkens één blad of één kaart die in een uur met een paar mensen wordt ingevuld. Voor dát patroon kiest deze bijlage </w:t>
      </w:r>
      <w:r>
        <w:rPr>
          <w:rFonts w:ascii="DM Sans" w:cs="DM Sans" w:eastAsia="DM Sans" w:hAnsi="DM Sans"/>
          <w:b/>
          <w:bCs/>
          <w:i/>
          <w:iCs/>
          <w:color w:val="14213D"/>
          <w:sz w:val="22"/>
          <w:szCs w:val="22"/>
        </w:rPr>
        <w:t xml:space="preserve">Excalidraw</w:t>
      </w:r>
      <w:r>
        <w:rPr>
          <w:rFonts w:ascii="DM Sans" w:cs="DM Sans" w:eastAsia="DM Sans" w:hAnsi="DM Sans"/>
          <w:i/>
          <w:iCs/>
          <w:color w:val="14213D"/>
          <w:sz w:val="22"/>
          <w:szCs w:val="22"/>
        </w:rPr>
        <w:t xml:space="preserve">: gratis, open-source (MIT-licentie), te gebruiken zonder account, met een oneindig canvas en live samenwerken — precies wat een gezamenlijk in te vullen werkvorm nodig heeft, zonder licentiekosten en zonder dat een deelnemer een pakket moet aanschaffen om de klikpaden zelf na te lopen. Dat is dezelfde afweging als bij Risicomanagement (Eramba Community Edition) en Software-architectuur (Structurizr): bij twijfel tussen een betaald marktleiderpakket (bijvoorbeeld Miro) en een gratis/open-source alternatief kiest deze cursusfamilie het laatste.</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Bijgewerkt voor de excalidraw.com-webapp; controleer bij afwijkende versies het menupad zelf — de werkvormen zelf (wat er in een vak moet staan) veranderen nooit, de precieze knoppositie in de toolbalk soms wel.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Excalidraw starten</w:t>
      </w:r>
    </w:p>
    <w:p>
      <w:pPr>
        <w:spacing w:after="160"/>
      </w:pPr>
      <w:r>
        <w:rPr>
          <w:rFonts w:ascii="DM Sans" w:cs="DM Sans" w:eastAsia="DM Sans" w:hAnsi="DM Sans"/>
          <w:color w:val="14213D"/>
          <w:sz w:val="22"/>
          <w:szCs w:val="22"/>
        </w:rPr>
        <w:t xml:space="preserve">Excalidraw is een gratis, open-source tekentool voor whiteboard-achtige diagrammen, ontwikkeld als opensourceproject en beschikbaar als gratis webapp.</w:t>
      </w:r>
    </w:p>
    <w:p>
      <w:pPr>
        <w:pStyle w:val="ListParagraph"/>
        <w:numPr>
          <w:ilvl w:val="0"/>
          <w:numId w:val="2"/>
        </w:numPr>
      </w:pPr>
      <w:r>
        <w:rPr>
          <w:rFonts w:ascii="DM Sans" w:cs="DM Sans" w:eastAsia="DM Sans" w:hAnsi="DM Sans"/>
          <w:b/>
          <w:bCs/>
          <w:color w:val="14213D"/>
          <w:sz w:val="22"/>
          <w:szCs w:val="22"/>
        </w:rPr>
        <w:t xml:space="preserve">Zonder installatie:</w:t>
      </w:r>
      <w:r>
        <w:rPr>
          <w:rFonts w:ascii="DM Sans" w:cs="DM Sans" w:eastAsia="DM Sans" w:hAnsi="DM Sans"/>
          <w:color w:val="14213D"/>
          <w:sz w:val="22"/>
          <w:szCs w:val="22"/>
        </w:rPr>
        <w:t xml:space="preserve"> ga naar de officiële Excalidraw-webapp. Er is geen account nodig om te beginnen — het canvas opent direct en werkt lokaal in de browser.</w:t>
      </w:r>
    </w:p>
    <w:p>
      <w:pPr>
        <w:pStyle w:val="ListParagraph"/>
        <w:numPr>
          <w:ilvl w:val="0"/>
          <w:numId w:val="2"/>
        </w:numPr>
      </w:pPr>
      <w:r>
        <w:rPr>
          <w:rFonts w:ascii="DM Sans" w:cs="DM Sans" w:eastAsia="DM Sans" w:hAnsi="DM Sans"/>
          <w:b/>
          <w:bCs/>
          <w:color w:val="14213D"/>
          <w:sz w:val="22"/>
          <w:szCs w:val="22"/>
        </w:rPr>
        <w:t xml:space="preserve">Opslaan.</w:t>
      </w:r>
      <w:r>
        <w:rPr>
          <w:rFonts w:ascii="DM Sans" w:cs="DM Sans" w:eastAsia="DM Sans" w:hAnsi="DM Sans"/>
          <w:color w:val="14213D"/>
          <w:sz w:val="22"/>
          <w:szCs w:val="22"/>
        </w:rPr>
        <w:t xml:space="preserve"> Gebruik in het hamburgermenu linksboven </w:t>
      </w:r>
      <w:r>
        <w:rPr>
          <w:rFonts w:ascii="DM Sans" w:cs="DM Sans" w:eastAsia="DM Sans" w:hAnsi="DM Sans"/>
          <w:b/>
          <w:bCs/>
          <w:color w:val="14213D"/>
          <w:sz w:val="22"/>
          <w:szCs w:val="22"/>
        </w:rPr>
        <w:t xml:space="preserve">Save to disk</w:t>
      </w:r>
      <w:r>
        <w:rPr>
          <w:rFonts w:ascii="DM Sans" w:cs="DM Sans" w:eastAsia="DM Sans" w:hAnsi="DM Sans"/>
          <w:color w:val="14213D"/>
          <w:sz w:val="22"/>
          <w:szCs w:val="22"/>
        </w:rPr>
        <w:t xml:space="preserve"> om het canvas als </w:t>
      </w:r>
      <w:r>
        <w:rPr>
          <w:rFonts w:ascii="DM Mono" w:cs="DM Mono" w:eastAsia="DM Mono" w:hAnsi="DM Mono"/>
          <w:color w:val="14213D"/>
          <w:sz w:val="22"/>
          <w:szCs w:val="22"/>
        </w:rPr>
        <w:t xml:space="preserve">.excalidraw</w:t>
      </w:r>
      <w:r>
        <w:rPr>
          <w:rFonts w:ascii="DM Sans" w:cs="DM Sans" w:eastAsia="DM Sans" w:hAnsi="DM Sans"/>
          <w:color w:val="14213D"/>
          <w:sz w:val="22"/>
          <w:szCs w:val="22"/>
        </w:rPr>
        <w:t xml:space="preserve">-bestand te bewaren, of laat de browser het automatisch onthouden voor de volgende sessie. Voor een cursusdag is een los </w:t>
      </w:r>
      <w:r>
        <w:rPr>
          <w:rFonts w:ascii="DM Mono" w:cs="DM Mono" w:eastAsia="DM Mono" w:hAnsi="DM Mono"/>
          <w:color w:val="14213D"/>
          <w:sz w:val="22"/>
          <w:szCs w:val="22"/>
        </w:rPr>
        <w:t xml:space="preserve">.excalidraw</w:t>
      </w:r>
      <w:r>
        <w:rPr>
          <w:rFonts w:ascii="DM Sans" w:cs="DM Sans" w:eastAsia="DM Sans" w:hAnsi="DM Sans"/>
          <w:color w:val="14213D"/>
          <w:sz w:val="22"/>
          <w:szCs w:val="22"/>
        </w:rPr>
        <w:t xml:space="preserve">-bestand per werkvorm (bijvoorbeeld </w:t>
      </w:r>
      <w:r>
        <w:rPr>
          <w:rFonts w:ascii="DM Mono" w:cs="DM Mono" w:eastAsia="DM Mono" w:hAnsi="DM Mono"/>
          <w:color w:val="14213D"/>
          <w:sz w:val="22"/>
          <w:szCs w:val="22"/>
        </w:rPr>
        <w:t xml:space="preserve">verdienmodelblad-meridiaan.excalidraw</w:t>
      </w:r>
      <w:r>
        <w:rPr>
          <w:rFonts w:ascii="DM Sans" w:cs="DM Sans" w:eastAsia="DM Sans" w:hAnsi="DM Sans"/>
          <w:color w:val="14213D"/>
          <w:sz w:val="22"/>
          <w:szCs w:val="22"/>
        </w:rPr>
        <w:t xml:space="preserve">) het overzichtelijkst.</w:t>
      </w:r>
    </w:p>
    <w:p>
      <w:pPr>
        <w:pStyle w:val="ListParagraph"/>
        <w:numPr>
          <w:ilvl w:val="0"/>
          <w:numId w:val="2"/>
        </w:numPr>
      </w:pPr>
      <w:r>
        <w:rPr>
          <w:rFonts w:ascii="DM Sans" w:cs="DM Sans" w:eastAsia="DM Sans" w:hAnsi="DM Sans"/>
          <w:b/>
          <w:bCs/>
          <w:color w:val="14213D"/>
          <w:sz w:val="22"/>
          <w:szCs w:val="22"/>
        </w:rPr>
        <w:t xml:space="preserve">Zelf hosten.</w:t>
      </w:r>
      <w:r>
        <w:rPr>
          <w:rFonts w:ascii="DM Sans" w:cs="DM Sans" w:eastAsia="DM Sans" w:hAnsi="DM Sans"/>
          <w:color w:val="14213D"/>
          <w:sz w:val="22"/>
          <w:szCs w:val="22"/>
        </w:rPr>
        <w:t xml:space="preserve"> Voor organisaties die niet in de browser van een derde partij willen werken: Excalidraw is ook als Docker-image te draaien op eigen infrastructuur — dezelfde functionaliteit, lokaal gehost, geen externe afhankelijkheid.</w:t>
      </w:r>
    </w:p>
    <w:p>
      <w:pPr>
        <w:pStyle w:val="ListParagraph"/>
        <w:numPr>
          <w:ilvl w:val="0"/>
          <w:numId w:val="2"/>
        </w:numPr>
      </w:pPr>
      <w:r>
        <w:rPr>
          <w:rFonts w:ascii="DM Sans" w:cs="DM Sans" w:eastAsia="DM Sans" w:hAnsi="DM Sans"/>
          <w:b/>
          <w:bCs/>
          <w:color w:val="14213D"/>
          <w:sz w:val="22"/>
          <w:szCs w:val="22"/>
        </w:rPr>
        <w:t xml:space="preserve">Offline gebruiken.</w:t>
      </w:r>
      <w:r>
        <w:rPr>
          <w:rFonts w:ascii="DM Sans" w:cs="DM Sans" w:eastAsia="DM Sans" w:hAnsi="DM Sans"/>
          <w:color w:val="14213D"/>
          <w:sz w:val="22"/>
          <w:szCs w:val="22"/>
        </w:rPr>
        <w:t xml:space="preserve"> Via het browsermenu ("App installeren" / "Install app") is de webapp als PWA te installeren; het canvas blijft dan ook zonder internetverbinding werkbaar tijdens een cursusdag.</w:t>
      </w:r>
    </w:p>
    <w:p>
      <w:pPr>
        <w:pStyle w:val="Heading2"/>
      </w:pPr>
      <w:r>
        <w:rPr>
          <w:rFonts w:ascii="DM Sans" w:cs="DM Sans" w:eastAsia="DM Sans" w:hAnsi="DM Sans"/>
          <w:color w:val="14213D"/>
          <w:sz w:val="22"/>
          <w:szCs w:val="22"/>
        </w:rPr>
        <w:t xml:space="preserve">2. Basisbediening die voor bijna elk Ductus-instrument nodig is</w:t>
      </w:r>
    </w:p>
    <w:p>
      <w:pPr>
        <w:spacing w:after="160"/>
      </w:pPr>
      <w:r>
        <w:rPr>
          <w:rFonts w:ascii="DM Sans" w:cs="DM Sans" w:eastAsia="DM Sans" w:hAnsi="DM Sans"/>
          <w:color w:val="14213D"/>
          <w:sz w:val="22"/>
          <w:szCs w:val="22"/>
        </w:rPr>
        <w:t xml:space="preserve">De werkbalk aan de bovenkant van het canvas bevat de vormen die voor alle onderstaande werkvormen volstaan: rechthoek, ellips, pijl, lijn, tekst en het kadergereedschap. Onderstaande vijf bewegingen komen in vrijwel elke klikpad hieronder terug.</w:t>
      </w:r>
    </w:p>
    <w:p>
      <w:pPr>
        <w:pStyle w:val="ListParagraph"/>
        <w:numPr>
          <w:ilvl w:val="0"/>
          <w:numId w:val="3"/>
        </w:numPr>
      </w:pPr>
      <w:r>
        <w:rPr>
          <w:rFonts w:ascii="DM Sans" w:cs="DM Sans" w:eastAsia="DM Sans" w:hAnsi="DM Sans"/>
          <w:b/>
          <w:bCs/>
          <w:color w:val="14213D"/>
          <w:sz w:val="22"/>
          <w:szCs w:val="22"/>
        </w:rPr>
        <w:t xml:space="preserve">Een vak met titel maken.</w:t>
      </w:r>
      <w:r>
        <w:rPr>
          <w:rFonts w:ascii="DM Sans" w:cs="DM Sans" w:eastAsia="DM Sans" w:hAnsi="DM Sans"/>
          <w:color w:val="14213D"/>
          <w:sz w:val="22"/>
          <w:szCs w:val="22"/>
        </w:rPr>
        <w:t xml:space="preserve"> Teken een rechthoek (toolbalk of sneltoets </w:t>
      </w:r>
      <w:r>
        <w:rPr>
          <w:rFonts w:ascii="DM Mono" w:cs="DM Mono" w:eastAsia="DM Mono" w:hAnsi="DM Mono"/>
          <w:color w:val="14213D"/>
          <w:sz w:val="22"/>
          <w:szCs w:val="22"/>
        </w:rPr>
        <w:t xml:space="preserve">R</w:t>
      </w:r>
      <w:r>
        <w:rPr>
          <w:rFonts w:ascii="DM Sans" w:cs="DM Sans" w:eastAsia="DM Sans" w:hAnsi="DM Sans"/>
          <w:color w:val="14213D"/>
          <w:sz w:val="22"/>
          <w:szCs w:val="22"/>
        </w:rPr>
        <w:t xml:space="preserve">), dubbelklik er middenin om tekst te binden aan de vorm — de tekst blijft dan bij de rechthoek horen als u die verplaatst.</w:t>
      </w:r>
    </w:p>
    <w:p>
      <w:pPr>
        <w:pStyle w:val="ListParagraph"/>
        <w:numPr>
          <w:ilvl w:val="0"/>
          <w:numId w:val="3"/>
        </w:numPr>
      </w:pPr>
      <w:r>
        <w:rPr>
          <w:rFonts w:ascii="DM Sans" w:cs="DM Sans" w:eastAsia="DM Sans" w:hAnsi="DM Sans"/>
          <w:b/>
          <w:bCs/>
          <w:color w:val="14213D"/>
          <w:sz w:val="22"/>
          <w:szCs w:val="22"/>
        </w:rPr>
        <w:t xml:space="preserve">Een zone afbakenen: Frames.</w:t>
      </w:r>
      <w:r>
        <w:rPr>
          <w:rFonts w:ascii="DM Sans" w:cs="DM Sans" w:eastAsia="DM Sans" w:hAnsi="DM Sans"/>
          <w:color w:val="14213D"/>
          <w:sz w:val="22"/>
          <w:szCs w:val="22"/>
        </w:rPr>
        <w:t xml:space="preserve"> Het kadergereedschap (</w:t>
      </w:r>
      <w:r>
        <w:rPr>
          <w:rFonts w:ascii="DM Mono" w:cs="DM Mono" w:eastAsia="DM Mono" w:hAnsi="DM Mono"/>
          <w:color w:val="14213D"/>
          <w:sz w:val="22"/>
          <w:szCs w:val="22"/>
        </w:rPr>
        <w:t xml:space="preserve">F</w:t>
      </w:r>
      <w:r>
        <w:rPr>
          <w:rFonts w:ascii="DM Sans" w:cs="DM Sans" w:eastAsia="DM Sans" w:hAnsi="DM Sans"/>
          <w:color w:val="14213D"/>
          <w:sz w:val="22"/>
          <w:szCs w:val="22"/>
        </w:rPr>
        <w:t xml:space="preserve">) trekt een genoemd, apart te verplaatsen kader om een deel van het canvas — de manier om een canvas op te delen in "vakken" of "zones" die als los geheel te verslepen, hernoemen en exporteren zijn. Dit is het instrument voor elke werkvorm hieronder die uit meerdere naast elkaar liggende zones bestaat (het verdienmodelblad, de klantreiskaart, de roadmapkaart).</w:t>
      </w:r>
    </w:p>
    <w:p>
      <w:pPr>
        <w:pStyle w:val="ListParagraph"/>
        <w:numPr>
          <w:ilvl w:val="0"/>
          <w:numId w:val="3"/>
        </w:numPr>
      </w:pPr>
      <w:r>
        <w:rPr>
          <w:rFonts w:ascii="DM Sans" w:cs="DM Sans" w:eastAsia="DM Sans" w:hAnsi="DM Sans"/>
          <w:b/>
          <w:bCs/>
          <w:color w:val="14213D"/>
          <w:sz w:val="22"/>
          <w:szCs w:val="22"/>
        </w:rPr>
        <w:t xml:space="preserve">Een sjabloon hergebruiken: de Library.</w:t>
      </w:r>
      <w:r>
        <w:rPr>
          <w:rFonts w:ascii="DM Sans" w:cs="DM Sans" w:eastAsia="DM Sans" w:hAnsi="DM Sans"/>
          <w:color w:val="14213D"/>
          <w:sz w:val="22"/>
          <w:szCs w:val="22"/>
        </w:rPr>
        <w:t xml:space="preserve"> Sla een zelfgemaakte vorm of set vormen op in de Library (rechterzijbalk, boekicoon) om ze in een volgende sessie of door een andere deelnemer opnieuw te laten neerzetten — de manier om bijvoorbeeld een lege besluitenlogboek-kaart of een leeg verdienmodelblad als herbruikbare basis te bewaren in plaats van elke keer opnieuw te tekenen.</w:t>
      </w:r>
    </w:p>
    <w:p>
      <w:pPr>
        <w:pStyle w:val="ListParagraph"/>
        <w:numPr>
          <w:ilvl w:val="0"/>
          <w:numId w:val="3"/>
        </w:numPr>
      </w:pPr>
      <w:r>
        <w:rPr>
          <w:rFonts w:ascii="DM Sans" w:cs="DM Sans" w:eastAsia="DM Sans" w:hAnsi="DM Sans"/>
          <w:b/>
          <w:bCs/>
          <w:color w:val="14213D"/>
          <w:sz w:val="22"/>
          <w:szCs w:val="22"/>
        </w:rPr>
        <w:t xml:space="preserve">Live samenwerken.</w:t>
      </w:r>
      <w:r>
        <w:rPr>
          <w:rFonts w:ascii="DM Sans" w:cs="DM Sans" w:eastAsia="DM Sans" w:hAnsi="DM Sans"/>
          <w:color w:val="14213D"/>
          <w:sz w:val="22"/>
          <w:szCs w:val="22"/>
        </w:rPr>
        <w:t xml:space="preserve"> De deel-knop rechtsboven ("Share") start een live-sessie: een link delen laat andere deelnemers tegelijk op hetzelfde canvas tekenen, zonder dat iemand een account nodig heeft. Voor de teaminstrumenten uit niveau 2 en 3 (het gedeelde besluitenlogboek uit deel 17, de praktijkbrede correcties uit deel 25) is dit de digitale tegenhanger van gezamenlijk om één whiteboard staan.</w:t>
      </w:r>
    </w:p>
    <w:p>
      <w:pPr>
        <w:spacing w:after="100" w:before="100"/>
      </w:pPr>
      <w:r>
        <w:rPr>
          <w:rFonts w:ascii="DM Sans" w:cs="DM Sans" w:eastAsia="DM Sans" w:hAnsi="DM Sans"/>
          <w:i/>
          <w:iCs/>
          <w:color w:val="55606F"/>
          <w:sz w:val="20"/>
          <w:szCs w:val="20"/>
        </w:rPr>
        <w:t xml:space="preserve">[Figuur volgt later — FIGUUR x-y]</w:t>
      </w:r>
    </w:p>
    <w:p>
      <w:pPr>
        <w:pStyle w:val="Heading2"/>
      </w:pPr>
      <w:r>
        <w:rPr>
          <w:rFonts w:ascii="DM Sans" w:cs="DM Sans" w:eastAsia="DM Sans" w:hAnsi="DM Sans"/>
          <w:color w:val="14213D"/>
          <w:sz w:val="22"/>
          <w:szCs w:val="22"/>
        </w:rPr>
        <w:t xml:space="preserve">3. Cursusbegrip → Excalidraw-opzet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Ductus-werkvorm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Excalidraw-opzet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Verdienmodelblad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negen rechthoeken in een 3×3-raster, elk met gebonden teksttitel en notitie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Stakeholderkaart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4, 12, 17, 22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assen (pijlen) die vier kwadranten vormen, plaknotities (kleine rechthoeken) per stakeholder, vijfde kolom "communicatieregister" als apart frame ernaast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Besluitenlogboek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7, 9, 17, 25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kaart met vijf tekstvakken, als Library-item bewaard en per besluit gekopieerd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Klantreiskaart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horizontale pijl (tijdlijn) bovenin, swimlane-frames per team eronder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Roadmapkaart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verticale frames (horizon 1, 2, 3) met kaarten binnen elk frame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Praktijkcharter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veldentabel als kolom rechthoeken, naast een tweede kolom met het opdrachtblad uit deel 11 ter vergelijking</w:t>
            </w:r>
          </w:p>
        </w:tc>
      </w:tr>
    </w:tbl>
    <w:p>
      <w:pPr>
        <w:spacing w:after="160"/>
      </w:pPr>
    </w:p>
    <w:p>
      <w:pPr>
        <w:spacing w:after="160"/>
      </w:pPr>
      <w:r>
        <w:rPr>
          <w:rFonts w:ascii="DM Sans" w:cs="DM Sans" w:eastAsia="DM Sans" w:hAnsi="DM Sans"/>
          <w:color w:val="14213D"/>
          <w:sz w:val="22"/>
          <w:szCs w:val="22"/>
        </w:rPr>
        <w:t xml:space="preserve">De onderstaande zes klikpaden werken elk instrument in detail uit. Ze zijn een startpunt, geen voorschrift — de werkvorm zelf (welke vragen een vak beantwoordt) staat in de reader van het genoemde deel, niet in deze bijlage.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Klikpad — het verdienmodelblad (deel 2)</w:t>
      </w:r>
    </w:p>
    <w:p>
      <w:pPr>
        <w:pStyle w:val="ListParagraph"/>
        <w:numPr>
          <w:ilvl w:val="0"/>
          <w:numId w:val="4"/>
        </w:numPr>
      </w:pPr>
      <w:r>
        <w:rPr>
          <w:rFonts w:ascii="DM Sans" w:cs="DM Sans" w:eastAsia="DM Sans" w:hAnsi="DM Sans"/>
          <w:color w:val="14213D"/>
          <w:sz w:val="22"/>
          <w:szCs w:val="22"/>
        </w:rPr>
        <w:t xml:space="preserve">Maak een frame (</w:t>
      </w:r>
      <w:r>
        <w:rPr>
          <w:rFonts w:ascii="DM Mono" w:cs="DM Mono" w:eastAsia="DM Mono" w:hAnsi="DM Mono"/>
          <w:color w:val="14213D"/>
          <w:sz w:val="22"/>
          <w:szCs w:val="22"/>
        </w:rPr>
        <w:t xml:space="preserve">F</w:t>
      </w:r>
      <w:r>
        <w:rPr>
          <w:rFonts w:ascii="DM Sans" w:cs="DM Sans" w:eastAsia="DM Sans" w:hAnsi="DM Sans"/>
          <w:color w:val="14213D"/>
          <w:sz w:val="22"/>
          <w:szCs w:val="22"/>
        </w:rPr>
        <w:t xml:space="preserve">) van ruim formaat en noem het naar de organisatie die u in kaart brengt (bijvoorbeeld "Verdienmodelblad — Meridiaan Pensioen").</w:t>
      </w:r>
    </w:p>
    <w:p>
      <w:pPr>
        <w:pStyle w:val="ListParagraph"/>
        <w:numPr>
          <w:ilvl w:val="0"/>
          <w:numId w:val="4"/>
        </w:numPr>
      </w:pPr>
      <w:r>
        <w:rPr>
          <w:rFonts w:ascii="DM Sans" w:cs="DM Sans" w:eastAsia="DM Sans" w:hAnsi="DM Sans"/>
          <w:color w:val="14213D"/>
          <w:sz w:val="22"/>
          <w:szCs w:val="22"/>
        </w:rPr>
        <w:t xml:space="preserve">Teken binnen dat frame negen rechthoeken in een 3×3-raster — gebruik </w:t>
      </w:r>
      <w:r>
        <w:rPr>
          <w:rFonts w:ascii="DM Sans" w:cs="DM Sans" w:eastAsia="DM Sans" w:hAnsi="DM Sans"/>
          <w:b/>
          <w:bCs/>
          <w:color w:val="14213D"/>
          <w:sz w:val="22"/>
          <w:szCs w:val="22"/>
        </w:rPr>
        <w:t xml:space="preserve">Copy/paste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Ctrl+C</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Ctrl+V</w:t>
      </w:r>
      <w:r>
        <w:rPr>
          <w:rFonts w:ascii="DM Sans" w:cs="DM Sans" w:eastAsia="DM Sans" w:hAnsi="DM Sans"/>
          <w:color w:val="14213D"/>
          <w:sz w:val="22"/>
          <w:szCs w:val="22"/>
        </w:rPr>
        <w:t xml:space="preserve">) of </w:t>
      </w:r>
      <w:r>
        <w:rPr>
          <w:rFonts w:ascii="DM Sans" w:cs="DM Sans" w:eastAsia="DM Sans" w:hAnsi="DM Sans"/>
          <w:b/>
          <w:bCs/>
          <w:color w:val="14213D"/>
          <w:sz w:val="22"/>
          <w:szCs w:val="22"/>
        </w:rPr>
        <w:t xml:space="preserve">Alt+slepen</w:t>
      </w:r>
      <w:r>
        <w:rPr>
          <w:rFonts w:ascii="DM Sans" w:cs="DM Sans" w:eastAsia="DM Sans" w:hAnsi="DM Sans"/>
          <w:color w:val="14213D"/>
          <w:sz w:val="22"/>
          <w:szCs w:val="22"/>
        </w:rPr>
        <w:t xml:space="preserve"> om de eerste rechthoek acht keer te dupliceren met gelijke afmetingen.</w:t>
      </w:r>
    </w:p>
    <w:p>
      <w:pPr>
        <w:pStyle w:val="ListParagraph"/>
        <w:numPr>
          <w:ilvl w:val="0"/>
          <w:numId w:val="4"/>
        </w:numPr>
      </w:pPr>
      <w:r>
        <w:rPr>
          <w:rFonts w:ascii="DM Sans" w:cs="DM Sans" w:eastAsia="DM Sans" w:hAnsi="DM Sans"/>
          <w:color w:val="14213D"/>
          <w:sz w:val="22"/>
          <w:szCs w:val="22"/>
        </w:rPr>
        <w:t xml:space="preserve">Dubbelklik in elke rechthoek en typ de vaknaam in hoofdletters bovenaan (Waardebelofte, Klant, Gebruiker, Opdrachtgever, Inkomsten, Kernactiviteiten, Kernmiddelen, Kostenstructuur, Beperkingen — deel 2, §2.4) gevolgd door een regelwit en de inhoud.</w:t>
      </w:r>
    </w:p>
    <w:p>
      <w:pPr>
        <w:pStyle w:val="ListParagraph"/>
        <w:numPr>
          <w:ilvl w:val="0"/>
          <w:numId w:val="4"/>
        </w:numPr>
      </w:pPr>
      <w:r>
        <w:rPr>
          <w:rFonts w:ascii="DM Sans" w:cs="DM Sans" w:eastAsia="DM Sans" w:hAnsi="DM Sans"/>
          <w:color w:val="14213D"/>
          <w:sz w:val="22"/>
          <w:szCs w:val="22"/>
        </w:rPr>
        <w:t xml:space="preserve">Sla het lege raster (zonder ingevulde inhoud) op in de Library door alle negen vakken te selecteren en op het library-plusicoon te klikken — zo hoeft u het raster niet opnieuw te tekenen bij de volgende organisatie of het volgende deel-3-vervolg.</w:t>
      </w:r>
    </w:p>
    <w:p>
      <w:pPr>
        <w:pStyle w:val="ListParagraph"/>
        <w:numPr>
          <w:ilvl w:val="0"/>
          <w:numId w:val="4"/>
        </w:numPr>
      </w:pPr>
      <w:r>
        <w:rPr>
          <w:rFonts w:ascii="DM Sans" w:cs="DM Sans" w:eastAsia="DM Sans" w:hAnsi="DM Sans"/>
          <w:color w:val="14213D"/>
          <w:sz w:val="22"/>
          <w:szCs w:val="22"/>
        </w:rPr>
        <w:t xml:space="preserve">Vul het blad in tijdens de sessie zelf; gebruik verschillende tekstkleuren voor "vaststaand feit" versus "aanname die nog getoetst moet worden" — dezelfde discipline als de bewering-met-bewijs-eis uit deel 2, §2.6.</w:t>
      </w:r>
    </w:p>
    <w:p>
      <w:pPr>
        <w:pStyle w:val="Heading2"/>
      </w:pPr>
      <w:r>
        <w:rPr>
          <w:rFonts w:ascii="DM Sans" w:cs="DM Sans" w:eastAsia="DM Sans" w:hAnsi="DM Sans"/>
          <w:color w:val="14213D"/>
          <w:sz w:val="22"/>
          <w:szCs w:val="22"/>
        </w:rPr>
        <w:t xml:space="preserve">5. Klikpad — de stakeholderkaart (deel 4)</w:t>
      </w:r>
    </w:p>
    <w:p>
      <w:pPr>
        <w:pStyle w:val="ListParagraph"/>
        <w:numPr>
          <w:ilvl w:val="0"/>
          <w:numId w:val="5"/>
        </w:numPr>
      </w:pPr>
      <w:r>
        <w:rPr>
          <w:rFonts w:ascii="DM Sans" w:cs="DM Sans" w:eastAsia="DM Sans" w:hAnsi="DM Sans"/>
          <w:color w:val="14213D"/>
          <w:sz w:val="22"/>
          <w:szCs w:val="22"/>
        </w:rPr>
        <w:t xml:space="preserve">Teken twee pijlen die een kruis vormen: de horizontale as </w:t>
      </w:r>
      <w:r>
        <w:rPr>
          <w:rFonts w:ascii="DM Sans" w:cs="DM Sans" w:eastAsia="DM Sans" w:hAnsi="DM Sans"/>
          <w:b/>
          <w:bCs/>
          <w:color w:val="14213D"/>
          <w:sz w:val="22"/>
          <w:szCs w:val="22"/>
        </w:rPr>
        <w:t xml:space="preserve">betrokkenheid</w:t>
      </w:r>
      <w:r>
        <w:rPr>
          <w:rFonts w:ascii="DM Sans" w:cs="DM Sans" w:eastAsia="DM Sans" w:hAnsi="DM Sans"/>
          <w:color w:val="14213D"/>
          <w:sz w:val="22"/>
          <w:szCs w:val="22"/>
        </w:rPr>
        <w:t xml:space="preserve"> (laag → hoog), de verticale as </w:t>
      </w:r>
      <w:r>
        <w:rPr>
          <w:rFonts w:ascii="DM Sans" w:cs="DM Sans" w:eastAsia="DM Sans" w:hAnsi="DM Sans"/>
          <w:b/>
          <w:bCs/>
          <w:color w:val="14213D"/>
          <w:sz w:val="22"/>
          <w:szCs w:val="22"/>
        </w:rPr>
        <w:t xml:space="preserve">invloed</w:t>
      </w:r>
      <w:r>
        <w:rPr>
          <w:rFonts w:ascii="DM Sans" w:cs="DM Sans" w:eastAsia="DM Sans" w:hAnsi="DM Sans"/>
          <w:color w:val="14213D"/>
          <w:sz w:val="22"/>
          <w:szCs w:val="22"/>
        </w:rPr>
        <w:t xml:space="preserve"> (laag → hoog) — deel 4, §4.4.</w:t>
      </w:r>
    </w:p>
    <w:p>
      <w:pPr>
        <w:pStyle w:val="ListParagraph"/>
        <w:numPr>
          <w:ilvl w:val="0"/>
          <w:numId w:val="5"/>
        </w:numPr>
      </w:pPr>
      <w:r>
        <w:rPr>
          <w:rFonts w:ascii="DM Sans" w:cs="DM Sans" w:eastAsia="DM Sans" w:hAnsi="DM Sans"/>
          <w:color w:val="14213D"/>
          <w:sz w:val="22"/>
          <w:szCs w:val="22"/>
        </w:rPr>
        <w:t xml:space="preserve">Label de vier kwadranten die ontstaan met tekst dicht bij elke hoek (bijvoorbeeld "informeren", "tevredenstellen", "nauw betrekken", "monitoren" — vul de labels die uw eigen werkvorm-uitwerking gebruikt).</w:t>
      </w:r>
    </w:p>
    <w:p>
      <w:pPr>
        <w:pStyle w:val="ListParagraph"/>
        <w:numPr>
          <w:ilvl w:val="0"/>
          <w:numId w:val="5"/>
        </w:numPr>
      </w:pPr>
      <w:r>
        <w:rPr>
          <w:rFonts w:ascii="DM Sans" w:cs="DM Sans" w:eastAsia="DM Sans" w:hAnsi="DM Sans"/>
          <w:color w:val="14213D"/>
          <w:sz w:val="22"/>
          <w:szCs w:val="22"/>
        </w:rPr>
        <w:t xml:space="preserve">Maak per stakeholder een kleine, gekleurde rechthoek (of een sticky-achtig vierkant) met de naam en functie, en sleep die naar het kwadrant waar hij hoort op basis van de twee assen.</w:t>
      </w:r>
    </w:p>
    <w:p>
      <w:pPr>
        <w:pStyle w:val="ListParagraph"/>
        <w:numPr>
          <w:ilvl w:val="0"/>
          <w:numId w:val="5"/>
        </w:numPr>
      </w:pPr>
      <w:r>
        <w:rPr>
          <w:rFonts w:ascii="DM Sans" w:cs="DM Sans" w:eastAsia="DM Sans" w:hAnsi="DM Sans"/>
          <w:color w:val="14213D"/>
          <w:sz w:val="22"/>
          <w:szCs w:val="22"/>
        </w:rPr>
        <w:t xml:space="preserve">Maak rechts van het kwadrantenveld een los frame </w:t>
      </w:r>
      <w:r>
        <w:rPr>
          <w:rFonts w:ascii="DM Sans" w:cs="DM Sans" w:eastAsia="DM Sans" w:hAnsi="DM Sans"/>
          <w:b/>
          <w:bCs/>
          <w:color w:val="14213D"/>
          <w:sz w:val="22"/>
          <w:szCs w:val="22"/>
        </w:rPr>
        <w:t xml:space="preserve">"Communicatieregister"</w:t>
      </w:r>
      <w:r>
        <w:rPr>
          <w:rFonts w:ascii="DM Sans" w:cs="DM Sans" w:eastAsia="DM Sans" w:hAnsi="DM Sans"/>
          <w:color w:val="14213D"/>
          <w:sz w:val="22"/>
          <w:szCs w:val="22"/>
        </w:rPr>
        <w:t xml:space="preserve"> — de vijfde kolom die deel 4 als het verschil-makende veld aanwijst — en noteer per stakeholder in één zin welke vorm, welk moment en welke toon past.</w:t>
      </w:r>
    </w:p>
    <w:p>
      <w:pPr>
        <w:pStyle w:val="ListParagraph"/>
        <w:numPr>
          <w:ilvl w:val="0"/>
          <w:numId w:val="5"/>
        </w:numPr>
      </w:pPr>
      <w:r>
        <w:rPr>
          <w:rFonts w:ascii="DM Sans" w:cs="DM Sans" w:eastAsia="DM Sans" w:hAnsi="DM Sans"/>
          <w:color w:val="14213D"/>
          <w:sz w:val="22"/>
          <w:szCs w:val="22"/>
        </w:rPr>
        <w:t xml:space="preserve">Bij een wijziging van iemands positie (bijvoorbeeld een stakeholder die van "monitoren" naar "nauw betrekken" verschuift na een reorganisatie): verplaats het vierkant simpelweg naar het andere kwadrant — het canvas hoeft niet opnieuw getekend te worden, in tegenstelling tot een statische afbeelding in een document.</w:t>
      </w:r>
    </w:p>
    <w:p>
      <w:pPr>
        <w:pStyle w:val="Heading2"/>
      </w:pPr>
      <w:r>
        <w:rPr>
          <w:rFonts w:ascii="DM Sans" w:cs="DM Sans" w:eastAsia="DM Sans" w:hAnsi="DM Sans"/>
          <w:color w:val="14213D"/>
          <w:sz w:val="22"/>
          <w:szCs w:val="22"/>
        </w:rPr>
        <w:t xml:space="preserve">6. Klikpad — het besluitenlogboek als herbruikbare kaart (deel 7, 9, 17, 25)</w:t>
      </w:r>
    </w:p>
    <w:p>
      <w:pPr>
        <w:pStyle w:val="ListParagraph"/>
        <w:numPr>
          <w:ilvl w:val="0"/>
          <w:numId w:val="6"/>
        </w:numPr>
      </w:pPr>
      <w:r>
        <w:rPr>
          <w:rFonts w:ascii="DM Sans" w:cs="DM Sans" w:eastAsia="DM Sans" w:hAnsi="DM Sans"/>
          <w:color w:val="14213D"/>
          <w:sz w:val="22"/>
          <w:szCs w:val="22"/>
        </w:rPr>
        <w:t xml:space="preserve">Teken één rechthoek met vijf gestapelde tekstvakken erin (of vijf losse, verticaal uitgelijnde rechthoeken binnen één frame), gelabeld: </w:t>
      </w:r>
      <w:r>
        <w:rPr>
          <w:rFonts w:ascii="DM Sans" w:cs="DM Sans" w:eastAsia="DM Sans" w:hAnsi="DM Sans"/>
          <w:b/>
          <w:bCs/>
          <w:color w:val="14213D"/>
          <w:sz w:val="22"/>
          <w:szCs w:val="22"/>
        </w:rPr>
        <w:t xml:space="preserve">Context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Overwogen alternatieven</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Gekozen optie en redenering</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Wie besliste</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Heroverwegingsmoment</w:t>
      </w:r>
      <w:r>
        <w:rPr>
          <w:rFonts w:ascii="DM Sans" w:cs="DM Sans" w:eastAsia="DM Sans" w:hAnsi="DM Sans"/>
          <w:color w:val="14213D"/>
          <w:sz w:val="22"/>
          <w:szCs w:val="22"/>
        </w:rPr>
        <w:t xml:space="preserve"> (deel 7, §7.5) — het vijfde veld is bewust het laatste en het veld dat het verschil maakt.</w:t>
      </w:r>
    </w:p>
    <w:p>
      <w:pPr>
        <w:pStyle w:val="ListParagraph"/>
        <w:numPr>
          <w:ilvl w:val="0"/>
          <w:numId w:val="6"/>
        </w:numPr>
      </w:pPr>
      <w:r>
        <w:rPr>
          <w:rFonts w:ascii="DM Sans" w:cs="DM Sans" w:eastAsia="DM Sans" w:hAnsi="DM Sans"/>
          <w:color w:val="14213D"/>
          <w:sz w:val="22"/>
          <w:szCs w:val="22"/>
        </w:rPr>
        <w:t xml:space="preserve">Sla deze lege kaart op als Library-item ("Besluitenlogboog — sjabloon") zodat elk nieuw besluit start vanuit exact dezelfde vorm, in plaats van dat het formaat per keer verschuift.</w:t>
      </w:r>
    </w:p>
    <w:p>
      <w:pPr>
        <w:pStyle w:val="ListParagraph"/>
        <w:numPr>
          <w:ilvl w:val="0"/>
          <w:numId w:val="6"/>
        </w:numPr>
      </w:pPr>
      <w:r>
        <w:rPr>
          <w:rFonts w:ascii="DM Sans" w:cs="DM Sans" w:eastAsia="DM Sans" w:hAnsi="DM Sans"/>
          <w:color w:val="14213D"/>
          <w:sz w:val="22"/>
          <w:szCs w:val="22"/>
        </w:rPr>
        <w:t xml:space="preserve">Zet bij elk nieuw besluit de sjabloon opnieuw op het canvas (sleep vanuit de Library) en vul de vijf velden in op het moment van beslissen zelf — niet achteraf, conform de instructie in de reader.</w:t>
      </w:r>
    </w:p>
    <w:p>
      <w:pPr>
        <w:pStyle w:val="ListParagraph"/>
        <w:numPr>
          <w:ilvl w:val="0"/>
          <w:numId w:val="6"/>
        </w:numPr>
      </w:pPr>
      <w:r>
        <w:rPr>
          <w:rFonts w:ascii="DM Sans" w:cs="DM Sans" w:eastAsia="DM Sans" w:hAnsi="DM Sans"/>
          <w:b/>
          <w:bCs/>
          <w:color w:val="14213D"/>
          <w:sz w:val="22"/>
          <w:szCs w:val="22"/>
        </w:rPr>
        <w:t xml:space="preserve">Voor het gedeelde besluitenlogboek op programmaniveau (deel 17):</w:t>
      </w:r>
      <w:r>
        <w:rPr>
          <w:rFonts w:ascii="DM Sans" w:cs="DM Sans" w:eastAsia="DM Sans" w:hAnsi="DM Sans"/>
          <w:color w:val="14213D"/>
          <w:sz w:val="22"/>
          <w:szCs w:val="22"/>
        </w:rPr>
        <w:t xml:space="preserve"> gebruik één gedeeld </w:t>
      </w:r>
      <w:r>
        <w:rPr>
          <w:rFonts w:ascii="DM Mono" w:cs="DM Mono" w:eastAsia="DM Mono" w:hAnsi="DM Mono"/>
          <w:color w:val="14213D"/>
          <w:sz w:val="22"/>
          <w:szCs w:val="22"/>
        </w:rPr>
        <w:t xml:space="preserve">.excalidraw</w:t>
      </w:r>
      <w:r>
        <w:rPr>
          <w:rFonts w:ascii="DM Sans" w:cs="DM Sans" w:eastAsia="DM Sans" w:hAnsi="DM Sans"/>
          <w:color w:val="14213D"/>
          <w:sz w:val="22"/>
          <w:szCs w:val="22"/>
        </w:rPr>
        <w:t xml:space="preserve">-bestand (of één live-sessie, zie §2) waarin alle architecten van het programma hun kaarten chronologisch onder elkaar zetten. Groepeer per kwartaal of per werkstroom met een apart frame, zodat het overzicht leesbaar blijft bij tien of meer besluiten.</w:t>
      </w:r>
    </w:p>
    <w:p>
      <w:pPr>
        <w:pStyle w:val="ListParagraph"/>
        <w:numPr>
          <w:ilvl w:val="0"/>
          <w:numId w:val="6"/>
        </w:numPr>
      </w:pPr>
      <w:r>
        <w:rPr>
          <w:rFonts w:ascii="DM Sans" w:cs="DM Sans" w:eastAsia="DM Sans" w:hAnsi="DM Sans"/>
          <w:b/>
          <w:bCs/>
          <w:color w:val="14213D"/>
          <w:sz w:val="22"/>
          <w:szCs w:val="22"/>
        </w:rPr>
        <w:t xml:space="preserve">Voor de praktijkbrede correctie uit deel 25:</w:t>
      </w:r>
      <w:r>
        <w:rPr>
          <w:rFonts w:ascii="DM Sans" w:cs="DM Sans" w:eastAsia="DM Sans" w:hAnsi="DM Sans"/>
          <w:color w:val="14213D"/>
          <w:sz w:val="22"/>
          <w:szCs w:val="22"/>
        </w:rPr>
        <w:t xml:space="preserve"> wanneer het kennisdelingsritme een afwijking blootlegt (bijvoorbeeld een werkstroom die het heroverwegingsmoment-veld structureel leeg laat), markeer dat expliciet met een gekleurde rand rond de betreffende kaarten en een aantekening — het digitale equivalent van de correctie die in deel 25, §25.4 naar het gedeelde besluitenlogboek gaat.</w:t>
      </w:r>
    </w:p>
    <w:p>
      <w:pPr>
        <w:pStyle w:val="Heading2"/>
      </w:pPr>
      <w:r>
        <w:rPr>
          <w:rFonts w:ascii="DM Sans" w:cs="DM Sans" w:eastAsia="DM Sans" w:hAnsi="DM Sans"/>
          <w:color w:val="14213D"/>
          <w:sz w:val="22"/>
          <w:szCs w:val="22"/>
        </w:rPr>
        <w:t xml:space="preserve">7. Klikpad — de klantreiskaart (deel 12)</w:t>
      </w:r>
    </w:p>
    <w:p>
      <w:pPr>
        <w:pStyle w:val="ListParagraph"/>
        <w:numPr>
          <w:ilvl w:val="0"/>
          <w:numId w:val="7"/>
        </w:numPr>
      </w:pPr>
      <w:r>
        <w:rPr>
          <w:rFonts w:ascii="DM Sans" w:cs="DM Sans" w:eastAsia="DM Sans" w:hAnsi="DM Sans"/>
          <w:color w:val="14213D"/>
          <w:sz w:val="22"/>
          <w:szCs w:val="22"/>
        </w:rPr>
        <w:t xml:space="preserve">Teken een lange, horizontale pijl bovenaan het canvas die de klantervaring weergeeft, met korte verticale streepjes op de momenten uit de reis (bijvoorbeeld: signaal, simulatie raadplegen, keuze maken, uitkering ontvangen — deel 12, §12.4).</w:t>
      </w:r>
    </w:p>
    <w:p>
      <w:pPr>
        <w:pStyle w:val="ListParagraph"/>
        <w:numPr>
          <w:ilvl w:val="0"/>
          <w:numId w:val="7"/>
        </w:numPr>
      </w:pPr>
      <w:r>
        <w:rPr>
          <w:rFonts w:ascii="DM Sans" w:cs="DM Sans" w:eastAsia="DM Sans" w:hAnsi="DM Sans"/>
          <w:color w:val="14213D"/>
          <w:sz w:val="22"/>
          <w:szCs w:val="22"/>
        </w:rPr>
        <w:t xml:space="preserve">Maak daaronder, niet ernaast, één horizontaal frame per team of systeem dat een stuk van die reis bouwt — de kern van de werkvorm is dat de tijdlijn van boven naar onder door teamgrenzen heen loopt.</w:t>
      </w:r>
    </w:p>
    <w:p>
      <w:pPr>
        <w:pStyle w:val="ListParagraph"/>
        <w:numPr>
          <w:ilvl w:val="0"/>
          <w:numId w:val="7"/>
        </w:numPr>
      </w:pPr>
      <w:r>
        <w:rPr>
          <w:rFonts w:ascii="DM Sans" w:cs="DM Sans" w:eastAsia="DM Sans" w:hAnsi="DM Sans"/>
          <w:color w:val="14213D"/>
          <w:sz w:val="22"/>
          <w:szCs w:val="22"/>
        </w:rPr>
        <w:t xml:space="preserve">Trek een korte verticale lijn (of gebruik de pijl-tool met een felle kleur) op elke plek waar de bovenste tijdlijn een teamgrens onderaan kruist — dat is een potentieel breukpunt.</w:t>
      </w:r>
    </w:p>
    <w:p>
      <w:pPr>
        <w:pStyle w:val="ListParagraph"/>
        <w:numPr>
          <w:ilvl w:val="0"/>
          <w:numId w:val="7"/>
        </w:numPr>
      </w:pPr>
      <w:r>
        <w:rPr>
          <w:rFonts w:ascii="DM Sans" w:cs="DM Sans" w:eastAsia="DM Sans" w:hAnsi="DM Sans"/>
          <w:color w:val="14213D"/>
          <w:sz w:val="22"/>
          <w:szCs w:val="22"/>
        </w:rPr>
        <w:t xml:space="preserve">Markeer bevestigde breukpunten (al opgetreden als incident) met een andere kleur dan nog-niet-opgetreden breukpunten, zodat het onderscheid uit deel 12 (bevestigd risico versus nog te vinden risico) zichtbaar blijft zonder aparte legenda te hoeven raadplegen.</w:t>
      </w:r>
    </w:p>
    <w:p>
      <w:pPr>
        <w:pStyle w:val="ListParagraph"/>
        <w:numPr>
          <w:ilvl w:val="0"/>
          <w:numId w:val="7"/>
        </w:numPr>
      </w:pPr>
      <w:r>
        <w:rPr>
          <w:rFonts w:ascii="DM Sans" w:cs="DM Sans" w:eastAsia="DM Sans" w:hAnsi="DM Sans"/>
          <w:color w:val="14213D"/>
          <w:sz w:val="22"/>
          <w:szCs w:val="22"/>
        </w:rPr>
        <w:t xml:space="preserve">Voor de koppeling met de waardestroom uit deel 15: exporteer de klantreiskaart als afbeelding en plaats die naast een nieuw canvas met de waardestroom (doorlooptijd/wachttijd per stap) — twee aparte werkvormen die bewust naast elkaar blijven staan in plaats van te versmelten.</w:t>
      </w:r>
    </w:p>
    <w:p>
      <w:pPr>
        <w:pStyle w:val="Heading2"/>
      </w:pPr>
      <w:r>
        <w:rPr>
          <w:rFonts w:ascii="DM Sans" w:cs="DM Sans" w:eastAsia="DM Sans" w:hAnsi="DM Sans"/>
          <w:color w:val="14213D"/>
          <w:sz w:val="22"/>
          <w:szCs w:val="22"/>
        </w:rPr>
        <w:t xml:space="preserve">8. Klikpad — de roadmapkaart, drie horizonnen (deel 19)</w:t>
      </w:r>
    </w:p>
    <w:p>
      <w:pPr>
        <w:pStyle w:val="ListParagraph"/>
        <w:numPr>
          <w:ilvl w:val="0"/>
          <w:numId w:val="8"/>
        </w:numPr>
      </w:pPr>
      <w:r>
        <w:rPr>
          <w:rFonts w:ascii="DM Sans" w:cs="DM Sans" w:eastAsia="DM Sans" w:hAnsi="DM Sans"/>
          <w:color w:val="14213D"/>
          <w:sz w:val="22"/>
          <w:szCs w:val="22"/>
        </w:rPr>
        <w:t xml:space="preserve">Maak drie verticale frames naast elkaar, gelabeld </w:t>
      </w:r>
      <w:r>
        <w:rPr>
          <w:rFonts w:ascii="DM Sans" w:cs="DM Sans" w:eastAsia="DM Sans" w:hAnsi="DM Sans"/>
          <w:b/>
          <w:bCs/>
          <w:color w:val="14213D"/>
          <w:sz w:val="22"/>
          <w:szCs w:val="22"/>
        </w:rPr>
        <w:t xml:space="preserve">Horizon 1</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Horizon 2</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Horizon 3</w:t>
      </w:r>
      <w:r>
        <w:rPr>
          <w:rFonts w:ascii="DM Sans" w:cs="DM Sans" w:eastAsia="DM Sans" w:hAnsi="DM Sans"/>
          <w:color w:val="14213D"/>
          <w:sz w:val="22"/>
          <w:szCs w:val="22"/>
        </w:rPr>
        <w:t xml:space="preserve">, met per frame een korte ondertitel voor de bijbehorende zekerheidsgraad (deel 19, §19-koptekst: "zekerheid, wat erin staat, koppeling").</w:t>
      </w:r>
    </w:p>
    <w:p>
      <w:pPr>
        <w:pStyle w:val="ListParagraph"/>
        <w:numPr>
          <w:ilvl w:val="0"/>
          <w:numId w:val="8"/>
        </w:numPr>
      </w:pPr>
      <w:r>
        <w:rPr>
          <w:rFonts w:ascii="DM Sans" w:cs="DM Sans" w:eastAsia="DM Sans" w:hAnsi="DM Sans"/>
          <w:color w:val="14213D"/>
          <w:sz w:val="22"/>
          <w:szCs w:val="22"/>
        </w:rPr>
        <w:t xml:space="preserve">Zet per initiatief een kleine kaart (rechthoek met gebonden tekst) in het frame van de horizon waarin het initiatief nu zit.</w:t>
      </w:r>
    </w:p>
    <w:p>
      <w:pPr>
        <w:pStyle w:val="ListParagraph"/>
        <w:numPr>
          <w:ilvl w:val="0"/>
          <w:numId w:val="8"/>
        </w:numPr>
      </w:pPr>
      <w:r>
        <w:rPr>
          <w:rFonts w:ascii="DM Sans" w:cs="DM Sans" w:eastAsia="DM Sans" w:hAnsi="DM Sans"/>
          <w:color w:val="14213D"/>
          <w:sz w:val="22"/>
          <w:szCs w:val="22"/>
        </w:rPr>
        <w:t xml:space="preserve">Voeg een dunne pijl toe tussen een kaart in Horizon 1 en dezelfde kaart in Horizon 2 wanneer een initiatief van horizon verschuift (bijvoorbeeld van "verkennen" naar "gepland") — zo blijft de bewegingsrichting zichtbaar in plaats van dat de oude positie stilzwijgend verdwijnt.</w:t>
      </w:r>
    </w:p>
    <w:p>
      <w:pPr>
        <w:pStyle w:val="ListParagraph"/>
        <w:numPr>
          <w:ilvl w:val="0"/>
          <w:numId w:val="8"/>
        </w:numPr>
      </w:pPr>
      <w:r>
        <w:rPr>
          <w:rFonts w:ascii="DM Sans" w:cs="DM Sans" w:eastAsia="DM Sans" w:hAnsi="DM Sans"/>
          <w:color w:val="14213D"/>
          <w:sz w:val="22"/>
          <w:szCs w:val="22"/>
        </w:rPr>
        <w:t xml:space="preserve">Voor de experimentkaart die in hetzelfde deel wordt geïntroduceerd (§19, vier velden): gebruik dezelfde kaart-en-Library-aanpak als bij het besluitenlogboek in §6 — een vaste kaart met vier vakken, gekoppeld aan het initiatief waarop hij betrekking heeft door de kaart er in Excalidraw fysiek naast te plaatsen of met een pijl te verbinden.</w:t>
      </w:r>
    </w:p>
    <w:p>
      <w:pPr>
        <w:pStyle w:val="ListParagraph"/>
        <w:numPr>
          <w:ilvl w:val="0"/>
          <w:numId w:val="8"/>
        </w:numPr>
      </w:pPr>
      <w:r>
        <w:rPr>
          <w:rFonts w:ascii="DM Sans" w:cs="DM Sans" w:eastAsia="DM Sans" w:hAnsi="DM Sans"/>
          <w:color w:val="14213D"/>
          <w:sz w:val="22"/>
          <w:szCs w:val="22"/>
        </w:rPr>
        <w:t xml:space="preserve">Werk de roadmapkaart bij op het vaste kwartaalritme dat deel 19 aanbeveelt; omdat het een los canvas is, is "bijwerken" verplaatsen en herlabelen, niet opnieuw tekenen.</w:t>
      </w:r>
    </w:p>
    <w:p>
      <w:pPr>
        <w:pStyle w:val="Heading2"/>
      </w:pPr>
      <w:r>
        <w:rPr>
          <w:rFonts w:ascii="DM Sans" w:cs="DM Sans" w:eastAsia="DM Sans" w:hAnsi="DM Sans"/>
          <w:color w:val="14213D"/>
          <w:sz w:val="22"/>
          <w:szCs w:val="22"/>
        </w:rPr>
        <w:t xml:space="preserve">9. Klikpad — het praktijkcharter (deel 23)</w:t>
      </w:r>
    </w:p>
    <w:p>
      <w:pPr>
        <w:pStyle w:val="ListParagraph"/>
        <w:numPr>
          <w:ilvl w:val="0"/>
          <w:numId w:val="9"/>
        </w:numPr>
      </w:pPr>
      <w:r>
        <w:rPr>
          <w:rFonts w:ascii="DM Sans" w:cs="DM Sans" w:eastAsia="DM Sans" w:hAnsi="DM Sans"/>
          <w:color w:val="14213D"/>
          <w:sz w:val="22"/>
          <w:szCs w:val="22"/>
        </w:rPr>
        <w:t xml:space="preserve">Maak twee kolommen als aparte frames: links </w:t>
      </w:r>
      <w:r>
        <w:rPr>
          <w:rFonts w:ascii="DM Sans" w:cs="DM Sans" w:eastAsia="DM Sans" w:hAnsi="DM Sans"/>
          <w:b/>
          <w:bCs/>
          <w:color w:val="14213D"/>
          <w:sz w:val="22"/>
          <w:szCs w:val="22"/>
        </w:rPr>
        <w:t xml:space="preserve">"Opdrachtblad (deel 11)"</w:t>
      </w:r>
      <w:r>
        <w:rPr>
          <w:rFonts w:ascii="DM Sans" w:cs="DM Sans" w:eastAsia="DM Sans" w:hAnsi="DM Sans"/>
          <w:color w:val="14213D"/>
          <w:sz w:val="22"/>
          <w:szCs w:val="22"/>
        </w:rPr>
        <w:t xml:space="preserve">, rechts </w:t>
      </w:r>
      <w:r>
        <w:rPr>
          <w:rFonts w:ascii="DM Sans" w:cs="DM Sans" w:eastAsia="DM Sans" w:hAnsi="DM Sans"/>
          <w:b/>
          <w:bCs/>
          <w:color w:val="14213D"/>
          <w:sz w:val="22"/>
          <w:szCs w:val="22"/>
        </w:rPr>
        <w:t xml:space="preserve">"Praktijkcharter (dit deel)"</w:t>
      </w:r>
      <w:r>
        <w:rPr>
          <w:rFonts w:ascii="DM Sans" w:cs="DM Sans" w:eastAsia="DM Sans" w:hAnsi="DM Sans"/>
          <w:color w:val="14213D"/>
          <w:sz w:val="22"/>
          <w:szCs w:val="22"/>
        </w:rPr>
        <w:t xml:space="preserve">.</w:t>
      </w:r>
    </w:p>
    <w:p>
      <w:pPr>
        <w:pStyle w:val="ListParagraph"/>
        <w:numPr>
          <w:ilvl w:val="0"/>
          <w:numId w:val="9"/>
        </w:numPr>
      </w:pPr>
      <w:r>
        <w:rPr>
          <w:rFonts w:ascii="DM Sans" w:cs="DM Sans" w:eastAsia="DM Sans" w:hAnsi="DM Sans"/>
          <w:color w:val="14213D"/>
          <w:sz w:val="22"/>
          <w:szCs w:val="22"/>
        </w:rPr>
        <w:t xml:space="preserve">Zet in elke kolom vijf rijen met dezelfde veldnamen (Opdrachtgever, Type dienst, Scope, Wat "goed" betekent, Mandaat — deel 23, §23.3) als kleine rechthoeken, zodat de twee kolommen letterlijk naast elkaar te lezen zijn — de opzet die de reader zelf als figuur beschrijft (FIGUUR 23-2).</w:t>
      </w:r>
    </w:p>
    <w:p>
      <w:pPr>
        <w:pStyle w:val="ListParagraph"/>
        <w:numPr>
          <w:ilvl w:val="0"/>
          <w:numId w:val="9"/>
        </w:numPr>
      </w:pPr>
      <w:r>
        <w:rPr>
          <w:rFonts w:ascii="DM Sans" w:cs="DM Sans" w:eastAsia="DM Sans" w:hAnsi="DM Sans"/>
          <w:color w:val="14213D"/>
          <w:sz w:val="22"/>
          <w:szCs w:val="22"/>
        </w:rPr>
        <w:t xml:space="preserve">Vul de rechterkolom in voor de eigen praktijk; laat de linkerkolom staan als referentie zodat nieuwe praktijkleden in één oogopslag zien waarin een praktijkcharter verschilt van een individueel opdrachtblad.</w:t>
      </w:r>
    </w:p>
    <w:p>
      <w:pPr>
        <w:pStyle w:val="ListParagraph"/>
        <w:numPr>
          <w:ilvl w:val="0"/>
          <w:numId w:val="9"/>
        </w:numPr>
      </w:pPr>
      <w:r>
        <w:rPr>
          <w:rFonts w:ascii="DM Sans" w:cs="DM Sans" w:eastAsia="DM Sans" w:hAnsi="DM Sans"/>
          <w:color w:val="14213D"/>
          <w:sz w:val="22"/>
          <w:szCs w:val="22"/>
        </w:rPr>
        <w:t xml:space="preserve">Voeg voor de praktijkladder (tweede competentie van dit deel) een apart, klein canvas toe: vier rijen (de vier praktijkrollen, gekoppeld aan CITA-F/A/S/P), elk met het bijbehorende groeicriterium in een gebonden tekstvak.</w:t>
      </w:r>
    </w:p>
    <w:p>
      <w:pPr>
        <w:pStyle w:val="ListParagraph"/>
        <w:numPr>
          <w:ilvl w:val="0"/>
          <w:numId w:val="9"/>
        </w:numPr>
      </w:pPr>
      <w:r>
        <w:rPr>
          <w:rFonts w:ascii="DM Sans" w:cs="DM Sans" w:eastAsia="DM Sans" w:hAnsi="DM Sans"/>
          <w:color w:val="14213D"/>
          <w:sz w:val="22"/>
          <w:szCs w:val="22"/>
        </w:rPr>
        <w:t xml:space="preserve">Bewaar het praktijkcharter als los, gedeeld </w:t>
      </w:r>
      <w:r>
        <w:rPr>
          <w:rFonts w:ascii="DM Mono" w:cs="DM Mono" w:eastAsia="DM Mono" w:hAnsi="DM Mono"/>
          <w:color w:val="14213D"/>
          <w:sz w:val="22"/>
          <w:szCs w:val="22"/>
        </w:rPr>
        <w:t xml:space="preserve">.excalidraw</w:t>
      </w:r>
      <w:r>
        <w:rPr>
          <w:rFonts w:ascii="DM Sans" w:cs="DM Sans" w:eastAsia="DM Sans" w:hAnsi="DM Sans"/>
          <w:color w:val="14213D"/>
          <w:sz w:val="22"/>
          <w:szCs w:val="22"/>
        </w:rPr>
        <w:t xml:space="preserve">-bestand naast het besluitenlogboek uit §6 — beide zijn praktijkbrede instrumenten die door de hele looptijd van de Wtp-overgang worden geraadpleegd, niet eenmalig ingevuld en vergeten.</w:t>
      </w:r>
    </w:p>
    <w:p>
      <w:pPr>
        <w:pStyle w:val="Heading2"/>
      </w:pPr>
      <w:r>
        <w:rPr>
          <w:rFonts w:ascii="DM Sans" w:cs="DM Sans" w:eastAsia="DM Sans" w:hAnsi="DM Sans"/>
          <w:color w:val="14213D"/>
          <w:sz w:val="22"/>
          <w:szCs w:val="22"/>
        </w:rPr>
        <w:t xml:space="preserve">10. Samenwerken op praktijk- en programmaniveau</w:t>
      </w:r>
    </w:p>
    <w:p>
      <w:pPr>
        <w:spacing w:after="160"/>
      </w:pPr>
      <w:r>
        <w:rPr>
          <w:rFonts w:ascii="DM Sans" w:cs="DM Sans" w:eastAsia="DM Sans" w:hAnsi="DM Sans"/>
          <w:color w:val="14213D"/>
          <w:sz w:val="22"/>
          <w:szCs w:val="22"/>
        </w:rPr>
        <w:t xml:space="preserve">Voor de instrumenten die in niveau 2 en 3 opschalen van individueel naar team- of praktijkniveau (het gedeelde besluitenlogboek van deel 17, het kennisdelingsritme van deel 25, de portefeuillekaart van deel 27) is één blijvend, gedeeld canvas praktischer dan telkens een nieuw bestand:</w:t>
      </w:r>
    </w:p>
    <w:p>
      <w:pPr>
        <w:pStyle w:val="ListParagraph"/>
        <w:numPr>
          <w:ilvl w:val="0"/>
          <w:numId w:val="3"/>
        </w:numPr>
      </w:pPr>
      <w:r>
        <w:rPr>
          <w:rFonts w:ascii="DM Sans" w:cs="DM Sans" w:eastAsia="DM Sans" w:hAnsi="DM Sans"/>
          <w:b/>
          <w:bCs/>
          <w:color w:val="14213D"/>
          <w:sz w:val="22"/>
          <w:szCs w:val="22"/>
        </w:rPr>
        <w:t xml:space="preserve">Live-sessie voor een werksessie zelf.</w:t>
      </w:r>
      <w:r>
        <w:rPr>
          <w:rFonts w:ascii="DM Sans" w:cs="DM Sans" w:eastAsia="DM Sans" w:hAnsi="DM Sans"/>
          <w:color w:val="14213D"/>
          <w:sz w:val="22"/>
          <w:szCs w:val="22"/>
        </w:rPr>
        <w:t xml:space="preserve"> Start een live-collaboration-sessie (§2) wanneer meerdere architecten tegelijk aan hetzelfde instrument werken, zoals bij de kennisdelingssessie die deel 25 elke twee weken voorschrijft.</w:t>
      </w:r>
    </w:p>
    <w:p>
      <w:pPr>
        <w:pStyle w:val="ListParagraph"/>
        <w:numPr>
          <w:ilvl w:val="0"/>
          <w:numId w:val="3"/>
        </w:numPr>
      </w:pPr>
      <w:r>
        <w:rPr>
          <w:rFonts w:ascii="DM Sans" w:cs="DM Sans" w:eastAsia="DM Sans" w:hAnsi="DM Sans"/>
          <w:b/>
          <w:bCs/>
          <w:color w:val="14213D"/>
          <w:sz w:val="22"/>
          <w:szCs w:val="22"/>
        </w:rPr>
        <w:t xml:space="preserve">Eén blijvend bestand tussen sessies.</w:t>
      </w:r>
      <w:r>
        <w:rPr>
          <w:rFonts w:ascii="DM Sans" w:cs="DM Sans" w:eastAsia="DM Sans" w:hAnsi="DM Sans"/>
          <w:color w:val="14213D"/>
          <w:sz w:val="22"/>
          <w:szCs w:val="22"/>
        </w:rPr>
        <w:t xml:space="preserve"> Sla het canvas na afloop op als </w:t>
      </w:r>
      <w:r>
        <w:rPr>
          <w:rFonts w:ascii="DM Mono" w:cs="DM Mono" w:eastAsia="DM Mono" w:hAnsi="DM Mono"/>
          <w:color w:val="14213D"/>
          <w:sz w:val="22"/>
          <w:szCs w:val="22"/>
        </w:rPr>
        <w:t xml:space="preserve">.excalidraw</w:t>
      </w:r>
      <w:r>
        <w:rPr>
          <w:rFonts w:ascii="DM Sans" w:cs="DM Sans" w:eastAsia="DM Sans" w:hAnsi="DM Sans"/>
          <w:color w:val="14213D"/>
          <w:sz w:val="22"/>
          <w:szCs w:val="22"/>
        </w:rPr>
        <w:t xml:space="preserve">-bestand op een gedeelde locatie (netwerkschijf, gedeelde cloudmap) zodat de volgende sessie verdergaat waar de vorige eindigde, in plaats van opnieuw te beginnen.</w:t>
      </w:r>
    </w:p>
    <w:p>
      <w:pPr>
        <w:pStyle w:val="ListParagraph"/>
        <w:numPr>
          <w:ilvl w:val="0"/>
          <w:numId w:val="3"/>
        </w:numPr>
      </w:pPr>
      <w:r>
        <w:rPr>
          <w:rFonts w:ascii="DM Sans" w:cs="DM Sans" w:eastAsia="DM Sans" w:hAnsi="DM Sans"/>
          <w:b/>
          <w:bCs/>
          <w:color w:val="14213D"/>
          <w:sz w:val="22"/>
          <w:szCs w:val="22"/>
        </w:rPr>
        <w:t xml:space="preserve">Wat Excalidraw hier niet biedt.</w:t>
      </w:r>
      <w:r>
        <w:rPr>
          <w:rFonts w:ascii="DM Sans" w:cs="DM Sans" w:eastAsia="DM Sans" w:hAnsi="DM Sans"/>
          <w:color w:val="14213D"/>
          <w:sz w:val="22"/>
          <w:szCs w:val="22"/>
        </w:rPr>
        <w:t xml:space="preserve"> Er is geen ingebouwde versiegeschiedenis zoals bij een tekstbestand in versiebeheer — wie wil kunnen terugzien wat een eerdere versie van het besluitenlogboek zei (relevant bij de praktijkbrede correcties uit deel 25), exporteert periodiek een gedateerde kopie (</w:t>
      </w:r>
      <w:r>
        <w:rPr>
          <w:rFonts w:ascii="DM Mono" w:cs="DM Mono" w:eastAsia="DM Mono" w:hAnsi="DM Mono"/>
          <w:color w:val="14213D"/>
          <w:sz w:val="22"/>
          <w:szCs w:val="22"/>
        </w:rPr>
        <w:t xml:space="preserve">besluitenlogboek-2026-08.excalidraw</w:t>
      </w:r>
      <w:r>
        <w:rPr>
          <w:rFonts w:ascii="DM Sans" w:cs="DM Sans" w:eastAsia="DM Sans" w:hAnsi="DM Sans"/>
          <w:color w:val="14213D"/>
          <w:sz w:val="22"/>
          <w:szCs w:val="22"/>
        </w:rPr>
        <w:t xml:space="preserve">) in plaats van te vertrouwen op een enkel, doorlopend bewerkt bestand.</w:t>
      </w:r>
    </w:p>
    <w:p>
      <w:pPr>
        <w:pStyle w:val="Heading2"/>
      </w:pPr>
      <w:r>
        <w:rPr>
          <w:rFonts w:ascii="DM Sans" w:cs="DM Sans" w:eastAsia="DM Sans" w:hAnsi="DM Sans"/>
          <w:color w:val="14213D"/>
          <w:sz w:val="22"/>
          <w:szCs w:val="22"/>
        </w:rPr>
        <w:t xml:space="preserve">11. Wat Excalidraw niet doet</w:t>
      </w:r>
    </w:p>
    <w:p>
      <w:pPr>
        <w:spacing w:after="160"/>
      </w:pPr>
      <w:r>
        <w:rPr>
          <w:rFonts w:ascii="DM Sans" w:cs="DM Sans" w:eastAsia="DM Sans" w:hAnsi="DM Sans"/>
          <w:color w:val="14213D"/>
          <w:sz w:val="22"/>
          <w:szCs w:val="22"/>
        </w:rPr>
        <w:t xml:space="preserve">Excalidraw is een generieke teken- en whiteboardtool, geen modelleertool met ingebouwde semantiek. Anders dan Archi bij ArchiMate (dat ongeldige relaties weigert) of Context Mapper bij context maps (dat een ontbrekende richting afdwingt), controleert Excalidraw niets aan de inhoud van een werkvorm: een onvolledig ingevuld besluitenlogboog of een stakeholderkaart zonder communicatieregister-kolom wordt door de tool niet gesignaleerd. De discipline om een instrument volledig en eerlijk in te vullen — het "laatste veld dat het verschil maakt" uit vrijwel elk instrument in deze cursus — blijft daarom net zo goed mensenwerk als op een fysiek whiteboard. Excalidraw versnelt het gezamenlijk invullen, bewaren en delen van een werkvorm; het vervangt nooit het denkwerk dat de reader van het betreffende deel vraagt.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Deze bijlage staat buiten de nummering van de dertig delen en wordt bijgewerkt naar de laatste stabiele Excalidraw-versie op het moment van cursusonderhoud.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2026-08-17T14:08:42.817Z</dcterms:created>
  <dcterms:modified xsi:type="dcterms:W3CDTF">2026-08-17T14:08:42.819Z</dcterms:modified>
</cp:coreProperties>
</file>

<file path=docProps/custom.xml><?xml version="1.0" encoding="utf-8"?>
<Properties xmlns="http://schemas.openxmlformats.org/officeDocument/2006/custom-properties" xmlns:vt="http://schemas.openxmlformats.org/officeDocument/2006/docPropsVTypes"/>
</file>