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1F3A5F"/>
          <w:sz w:val="44"/>
          <w:szCs w:val="44"/>
        </w:rPr>
        <w:t xml:space="preserve">Deel 1 — Wat is softwarearchitectuur?</w:t>
      </w:r>
    </w:p>
    <w:p>
      <w:pPr>
        <w:spacing w:after="200"/>
      </w:pPr>
      <w:r>
        <w:rPr>
          <w:b/>
          <w:bCs/>
          <w:color w:val="4A6789"/>
          <w:sz w:val="26"/>
          <w:szCs w:val="26"/>
        </w:rPr>
        <w:t xml:space="preserve">Docentenhandleiding</w:t>
      </w:r>
    </w:p>
    <w:p>
      <w:pPr>
        <w:spacing w:after="400"/>
      </w:pPr>
      <w:r>
        <w:rPr>
          <w:color w:val="6B7280"/>
          <w:sz w:val="20"/>
          <w:szCs w:val="20"/>
        </w:rPr>
        <w:t xml:space="preserve">Cursus Softwarearchitectuur · Niveau 1 (CPSA-F) · Deel 1 van 10</w:t>
      </w:r>
    </w:p>
    <w:p>
      <w:pPr>
        <w:pStyle w:val="Heading1"/>
        <w:pBdr>
          <w:bottom w:val="single" w:color="E5E7EB" w:sz="6" w:space="6"/>
        </w:pBdr>
        <w:spacing w:after="180" w:before="380"/>
      </w:pPr>
      <w:r>
        <w:rPr>
          <w:b/>
          <w:bCs/>
          <w:color w:val="1F3A5F"/>
          <w:sz w:val="30"/>
          <w:szCs w:val="30"/>
        </w:rPr>
        <w:t xml:space="preserve">1. Positie van dit deel in het niveau</w:t>
      </w:r>
    </w:p>
    <w:p>
      <w:pPr>
        <w:spacing w:after="160" w:line="276"/>
      </w:pPr>
      <w:r>
        <w:rPr>
          <w:color w:val="1F2937"/>
          <w:sz w:val="22"/>
          <w:szCs w:val="22"/>
        </w:rPr>
        <w:t xml:space="preserve">Deel 1 heeft drie functies tegelijk, en het is nuttig ze uit elkaar te houden bij de voorbereiding:</w:t>
      </w:r>
    </w:p>
    <w:p>
      <w:pPr>
        <w:pStyle w:val="ListParagraph"/>
        <w:numPr>
          <w:ilvl w:val="0"/>
          <w:numId w:val="2"/>
        </w:numPr>
        <w:spacing w:after="120"/>
      </w:pPr>
      <w:r>
        <w:rPr>
          <w:b/>
          <w:bCs/>
          <w:color w:val="1F2937"/>
          <w:sz w:val="22"/>
          <w:szCs w:val="22"/>
        </w:rPr>
        <w:t xml:space="preserve">Begripsvorming.</w:t>
      </w:r>
      <w:r>
        <w:rPr>
          <w:color w:val="1F2937"/>
          <w:sz w:val="22"/>
          <w:szCs w:val="22"/>
        </w:rPr>
        <w:t xml:space="preserve"> De cursisten moeten na dit dagdeel een werkbare definitie van architectuur hebben en het significantiecriterium kunnen toepassen. Dat is de examenrelevante kern (CPSA-F, hoofdstuk 1).</w:t>
      </w:r>
    </w:p>
    <w:p>
      <w:pPr>
        <w:pStyle w:val="ListParagraph"/>
        <w:numPr>
          <w:ilvl w:val="0"/>
          <w:numId w:val="2"/>
        </w:numPr>
        <w:spacing w:after="120"/>
      </w:pPr>
      <w:r>
        <w:rPr>
          <w:b/>
          <w:bCs/>
          <w:color w:val="1F2937"/>
          <w:sz w:val="22"/>
          <w:szCs w:val="22"/>
        </w:rPr>
        <w:t xml:space="preserve">Casusintroductie.</w:t>
      </w:r>
      <w:r>
        <w:rPr>
          <w:color w:val="1F2937"/>
          <w:sz w:val="22"/>
          <w:szCs w:val="22"/>
        </w:rPr>
        <w:t xml:space="preserve"> Mutatie 1.0 en de zeven bevindingen moeten stevig staan, want negen delen hangen eraan. Als de casus in dit dagdeel niet landt, moet u hem in elk volgend deel opnieuw introduceren.</w:t>
      </w:r>
    </w:p>
    <w:p>
      <w:pPr>
        <w:pStyle w:val="ListParagraph"/>
        <w:numPr>
          <w:ilvl w:val="0"/>
          <w:numId w:val="2"/>
        </w:numPr>
        <w:spacing w:after="120"/>
      </w:pPr>
      <w:r>
        <w:rPr>
          <w:b/>
          <w:bCs/>
          <w:color w:val="1F2937"/>
          <w:sz w:val="22"/>
          <w:szCs w:val="22"/>
        </w:rPr>
        <w:t xml:space="preserve">Normstelling.</w:t>
      </w:r>
      <w:r>
        <w:rPr>
          <w:color w:val="1F2937"/>
          <w:sz w:val="22"/>
          <w:szCs w:val="22"/>
        </w:rPr>
        <w:t xml:space="preserve"> Dit is het moment waarop de toon van de cursus wordt gezet: architectuur is een vak van verdedigbare afwegingen, niet van goede en foute plaatjes. Elke uitwerking in het werkboek is daarom bewust als “verdedigbaar, niet enig juist” geformuleerd. Neem die formulering over.</w:t>
      </w:r>
    </w:p>
    <w:p>
      <w:pPr>
        <w:spacing w:after="160" w:line="276"/>
      </w:pPr>
      <w:r>
        <w:rPr>
          <w:b/>
          <w:bCs/>
          <w:color w:val="1F2937"/>
          <w:sz w:val="22"/>
          <w:szCs w:val="22"/>
        </w:rPr>
        <w:t xml:space="preserve">Voorkennis van de groep. </w:t>
      </w:r>
      <w:r>
        <w:rPr>
          <w:color w:val="1F2937"/>
          <w:sz w:val="22"/>
          <w:szCs w:val="22"/>
        </w:rPr>
        <w:t xml:space="preserve">Reken op een gemengde groep: ontwikkelaars met 3–10 jaar ervaring, een enkele tech lead, soms een informatieanalist zonder bouwervaring. Het iSAQB gaat uit van ongeveer achttien maanden praktijkervaring in softwareontwikkeling. Deelnemers zonder die achtergrond kunnen dit deel goed volgen, maar lopen vanaf deel 3 vast; signaleer dat vandaag en bespreek het individueel in de pauze.</w:t>
      </w:r>
    </w:p>
    <w:p>
      <w:pPr>
        <w:pStyle w:val="Heading1"/>
        <w:pBdr>
          <w:bottom w:val="single" w:color="E5E7EB" w:sz="6" w:space="6"/>
        </w:pBdr>
        <w:spacing w:after="180" w:before="380"/>
      </w:pPr>
      <w:r>
        <w:rPr>
          <w:b/>
          <w:bCs/>
          <w:color w:val="1F3A5F"/>
          <w:sz w:val="30"/>
          <w:szCs w:val="30"/>
        </w:rPr>
        <w:t xml:space="preserve">2. Dagdeelplanning (4 uur, inclusief twee pauzes)</w:t>
      </w:r>
    </w:p>
    <w:tbl>
      <w:tblPr>
        <w:tblW w:type="dxa" w:w="9738"/>
        <w:tblBorders>
          <w:top w:val="single" w:color="E5E7EB" w:sz="4"/>
          <w:left w:val="single" w:color="E5E7EB" w:sz="4"/>
          <w:bottom w:val="single" w:color="E5E7EB" w:sz="4"/>
          <w:right w:val="single" w:color="E5E7EB" w:sz="4"/>
          <w:insideH w:val="single" w:color="E5E7EB" w:sz="4"/>
          <w:insideV w:val="single" w:color="E5E7EB" w:sz="4"/>
        </w:tblBorders>
        <w:tblLayout w:type="fixed"/>
      </w:tblPr>
      <w:tblGrid>
        <w:gridCol w:w="1400"/>
        <w:gridCol w:w="4600"/>
        <w:gridCol w:w="2300"/>
        <w:gridCol w:w="1438"/>
      </w:tblGrid>
      <w:tr>
        <w:trPr>
          <w:tblHeader/>
        </w:trPr>
        <w:tc>
          <w:tcPr>
            <w:tcW w:type="dxa" w:w="1400"/>
            <w:shd w:fill="1F3A5F" w:val="clear"/>
            <w:tcMar>
              <w:top w:type="dxa" w:w="100"/>
              <w:left w:type="dxa" w:w="120"/>
              <w:bottom w:type="dxa" w:w="100"/>
              <w:right w:type="dxa" w:w="120"/>
            </w:tcMar>
            <w:vAlign w:val="center"/>
          </w:tcPr>
          <w:p>
            <w:r>
              <w:rPr>
                <w:b/>
                <w:bCs/>
                <w:color w:val="FFFFFF"/>
                <w:sz w:val="19"/>
                <w:szCs w:val="19"/>
              </w:rPr>
              <w:t xml:space="preserve">Tijd</w:t>
            </w:r>
          </w:p>
        </w:tc>
        <w:tc>
          <w:tcPr>
            <w:tcW w:type="dxa" w:w="4600"/>
            <w:shd w:fill="1F3A5F" w:val="clear"/>
            <w:tcMar>
              <w:top w:type="dxa" w:w="100"/>
              <w:left w:type="dxa" w:w="120"/>
              <w:bottom w:type="dxa" w:w="100"/>
              <w:right w:type="dxa" w:w="120"/>
            </w:tcMar>
            <w:vAlign w:val="center"/>
          </w:tcPr>
          <w:p>
            <w:r>
              <w:rPr>
                <w:b/>
                <w:bCs/>
                <w:color w:val="FFFFFF"/>
                <w:sz w:val="19"/>
                <w:szCs w:val="19"/>
              </w:rPr>
              <w:t xml:space="preserve">Onderdeel</w:t>
            </w:r>
          </w:p>
        </w:tc>
        <w:tc>
          <w:tcPr>
            <w:tcW w:type="dxa" w:w="2300"/>
            <w:shd w:fill="1F3A5F" w:val="clear"/>
            <w:tcMar>
              <w:top w:type="dxa" w:w="100"/>
              <w:left w:type="dxa" w:w="120"/>
              <w:bottom w:type="dxa" w:w="100"/>
              <w:right w:type="dxa" w:w="120"/>
            </w:tcMar>
            <w:vAlign w:val="center"/>
          </w:tcPr>
          <w:p>
            <w:r>
              <w:rPr>
                <w:b/>
                <w:bCs/>
                <w:color w:val="FFFFFF"/>
                <w:sz w:val="19"/>
                <w:szCs w:val="19"/>
              </w:rPr>
              <w:t xml:space="preserve">Vorm</w:t>
            </w:r>
          </w:p>
        </w:tc>
        <w:tc>
          <w:tcPr>
            <w:tcW w:type="dxa" w:w="1438"/>
            <w:shd w:fill="1F3A5F" w:val="clear"/>
            <w:tcMar>
              <w:top w:type="dxa" w:w="100"/>
              <w:left w:type="dxa" w:w="120"/>
              <w:bottom w:type="dxa" w:w="100"/>
              <w:right w:type="dxa" w:w="120"/>
            </w:tcMar>
            <w:vAlign w:val="center"/>
          </w:tcPr>
          <w:p>
            <w:r>
              <w:rPr>
                <w:b/>
                <w:bCs/>
                <w:color w:val="FFFFFF"/>
                <w:sz w:val="19"/>
                <w:szCs w:val="19"/>
              </w:rPr>
              <w:t xml:space="preserve">Slides</w:t>
            </w:r>
          </w:p>
        </w:tc>
      </w:tr>
      <w:tr>
        <w:trPr>
          <w:cantSplit/>
        </w:trPr>
        <w:tc>
          <w:tcPr>
            <w:tcW w:type="dxa" w:w="1400"/>
            <w:tcMar>
              <w:top w:type="dxa" w:w="100"/>
              <w:left w:type="dxa" w:w="120"/>
              <w:bottom w:type="dxa" w:w="100"/>
              <w:right w:type="dxa" w:w="120"/>
            </w:tcMar>
            <w:vAlign w:val="center"/>
          </w:tcPr>
          <w:p>
            <w:r>
              <w:rPr>
                <w:b w:val="false"/>
                <w:bCs w:val="false"/>
                <w:color w:val="1F2937"/>
                <w:sz w:val="19"/>
                <w:szCs w:val="19"/>
              </w:rPr>
              <w:t xml:space="preserve">0:00–0:15</w:t>
            </w:r>
          </w:p>
        </w:tc>
        <w:tc>
          <w:tcPr>
            <w:tcW w:type="dxa" w:w="4600"/>
            <w:tcMar>
              <w:top w:type="dxa" w:w="100"/>
              <w:left w:type="dxa" w:w="120"/>
              <w:bottom w:type="dxa" w:w="100"/>
              <w:right w:type="dxa" w:w="120"/>
            </w:tcMar>
            <w:vAlign w:val="center"/>
          </w:tcPr>
          <w:p>
            <w:r>
              <w:rPr>
                <w:b w:val="false"/>
                <w:bCs w:val="false"/>
                <w:color w:val="1F2937"/>
                <w:sz w:val="19"/>
                <w:szCs w:val="19"/>
              </w:rPr>
              <w:t xml:space="preserve">Welkom, kennismaking, opzet cursus en examen</w:t>
            </w:r>
          </w:p>
        </w:tc>
        <w:tc>
          <w:tcPr>
            <w:tcW w:type="dxa" w:w="2300"/>
            <w:tcMar>
              <w:top w:type="dxa" w:w="100"/>
              <w:left w:type="dxa" w:w="120"/>
              <w:bottom w:type="dxa" w:w="100"/>
              <w:right w:type="dxa" w:w="120"/>
            </w:tcMar>
            <w:vAlign w:val="center"/>
          </w:tcPr>
          <w:p>
            <w:r>
              <w:rPr>
                <w:b w:val="false"/>
                <w:bCs w:val="false"/>
                <w:color w:val="1F2937"/>
                <w:sz w:val="19"/>
                <w:szCs w:val="19"/>
              </w:rPr>
              <w:t xml:space="preserve">plenair</w:t>
            </w:r>
          </w:p>
        </w:tc>
        <w:tc>
          <w:tcPr>
            <w:tcW w:type="dxa" w:w="1438"/>
            <w:tcMar>
              <w:top w:type="dxa" w:w="100"/>
              <w:left w:type="dxa" w:w="120"/>
              <w:bottom w:type="dxa" w:w="100"/>
              <w:right w:type="dxa" w:w="120"/>
            </w:tcMar>
            <w:vAlign w:val="center"/>
          </w:tcPr>
          <w:p>
            <w:r>
              <w:rPr>
                <w:b w:val="false"/>
                <w:bCs w:val="false"/>
                <w:color w:val="1F2937"/>
                <w:sz w:val="19"/>
                <w:szCs w:val="19"/>
              </w:rPr>
              <w:t xml:space="preserve">1–3</w:t>
            </w:r>
          </w:p>
        </w:tc>
      </w:tr>
      <w:tr>
        <w:trPr>
          <w:cantSplit/>
        </w:trPr>
        <w:tc>
          <w:tcPr>
            <w:tcW w:type="dxa" w:w="1400"/>
            <w:tcMar>
              <w:top w:type="dxa" w:w="100"/>
              <w:left w:type="dxa" w:w="120"/>
              <w:bottom w:type="dxa" w:w="100"/>
              <w:right w:type="dxa" w:w="120"/>
            </w:tcMar>
            <w:vAlign w:val="center"/>
          </w:tcPr>
          <w:p>
            <w:r>
              <w:rPr>
                <w:b w:val="false"/>
                <w:bCs w:val="false"/>
                <w:color w:val="1F2937"/>
                <w:sz w:val="19"/>
                <w:szCs w:val="19"/>
              </w:rPr>
              <w:t xml:space="preserve">0:15–0:30</w:t>
            </w:r>
          </w:p>
        </w:tc>
        <w:tc>
          <w:tcPr>
            <w:tcW w:type="dxa" w:w="4600"/>
            <w:tcMar>
              <w:top w:type="dxa" w:w="100"/>
              <w:left w:type="dxa" w:w="120"/>
              <w:bottom w:type="dxa" w:w="100"/>
              <w:right w:type="dxa" w:w="120"/>
            </w:tcMar>
            <w:vAlign w:val="center"/>
          </w:tcPr>
          <w:p>
            <w:r>
              <w:rPr>
                <w:b w:val="false"/>
                <w:bCs w:val="false"/>
                <w:color w:val="1F2937"/>
                <w:sz w:val="19"/>
                <w:szCs w:val="19"/>
              </w:rPr>
              <w:t xml:space="preserve">Waarom we met een mislukking beginnen</w:t>
            </w:r>
          </w:p>
        </w:tc>
        <w:tc>
          <w:tcPr>
            <w:tcW w:type="dxa" w:w="2300"/>
            <w:tcMar>
              <w:top w:type="dxa" w:w="100"/>
              <w:left w:type="dxa" w:w="120"/>
              <w:bottom w:type="dxa" w:w="100"/>
              <w:right w:type="dxa" w:w="120"/>
            </w:tcMar>
            <w:vAlign w:val="center"/>
          </w:tcPr>
          <w:p>
            <w:r>
              <w:rPr>
                <w:b w:val="false"/>
                <w:bCs w:val="false"/>
                <w:color w:val="1F2937"/>
                <w:sz w:val="19"/>
                <w:szCs w:val="19"/>
              </w:rPr>
              <w:t xml:space="preserve">plenair</w:t>
            </w:r>
          </w:p>
        </w:tc>
        <w:tc>
          <w:tcPr>
            <w:tcW w:type="dxa" w:w="1438"/>
            <w:tcMar>
              <w:top w:type="dxa" w:w="100"/>
              <w:left w:type="dxa" w:w="120"/>
              <w:bottom w:type="dxa" w:w="100"/>
              <w:right w:type="dxa" w:w="120"/>
            </w:tcMar>
            <w:vAlign w:val="center"/>
          </w:tcPr>
          <w:p>
            <w:r>
              <w:rPr>
                <w:b w:val="false"/>
                <w:bCs w:val="false"/>
                <w:color w:val="1F2937"/>
                <w:sz w:val="19"/>
                <w:szCs w:val="19"/>
              </w:rPr>
              <w:t xml:space="preserve">4–5</w:t>
            </w:r>
          </w:p>
        </w:tc>
      </w:tr>
      <w:tr>
        <w:trPr>
          <w:cantSplit/>
        </w:trPr>
        <w:tc>
          <w:tcPr>
            <w:tcW w:type="dxa" w:w="1400"/>
            <w:tcMar>
              <w:top w:type="dxa" w:w="100"/>
              <w:left w:type="dxa" w:w="120"/>
              <w:bottom w:type="dxa" w:w="100"/>
              <w:right w:type="dxa" w:w="120"/>
            </w:tcMar>
            <w:vAlign w:val="center"/>
          </w:tcPr>
          <w:p>
            <w:r>
              <w:rPr>
                <w:b w:val="false"/>
                <w:bCs w:val="false"/>
                <w:color w:val="1F2937"/>
                <w:sz w:val="19"/>
                <w:szCs w:val="19"/>
              </w:rPr>
              <w:t xml:space="preserve">0:30–0:55</w:t>
            </w:r>
          </w:p>
        </w:tc>
        <w:tc>
          <w:tcPr>
            <w:tcW w:type="dxa" w:w="4600"/>
            <w:tcMar>
              <w:top w:type="dxa" w:w="100"/>
              <w:left w:type="dxa" w:w="120"/>
              <w:bottom w:type="dxa" w:w="100"/>
              <w:right w:type="dxa" w:w="120"/>
            </w:tcMar>
            <w:vAlign w:val="center"/>
          </w:tcPr>
          <w:p>
            <w:r>
              <w:rPr>
                <w:b w:val="false"/>
                <w:bCs w:val="false"/>
                <w:color w:val="1F2937"/>
                <w:sz w:val="19"/>
                <w:szCs w:val="19"/>
              </w:rPr>
              <w:t xml:space="preserve">Casusintroductie Meridiaan en Mutatie 1.0</w:t>
            </w:r>
          </w:p>
        </w:tc>
        <w:tc>
          <w:tcPr>
            <w:tcW w:type="dxa" w:w="2300"/>
            <w:tcMar>
              <w:top w:type="dxa" w:w="100"/>
              <w:left w:type="dxa" w:w="120"/>
              <w:bottom w:type="dxa" w:w="100"/>
              <w:right w:type="dxa" w:w="120"/>
            </w:tcMar>
            <w:vAlign w:val="center"/>
          </w:tcPr>
          <w:p>
            <w:r>
              <w:rPr>
                <w:b w:val="false"/>
                <w:bCs w:val="false"/>
                <w:color w:val="1F2937"/>
                <w:sz w:val="19"/>
                <w:szCs w:val="19"/>
              </w:rPr>
              <w:t xml:space="preserve">plenair + vragen</w:t>
            </w:r>
          </w:p>
        </w:tc>
        <w:tc>
          <w:tcPr>
            <w:tcW w:type="dxa" w:w="1438"/>
            <w:tcMar>
              <w:top w:type="dxa" w:w="100"/>
              <w:left w:type="dxa" w:w="120"/>
              <w:bottom w:type="dxa" w:w="100"/>
              <w:right w:type="dxa" w:w="120"/>
            </w:tcMar>
            <w:vAlign w:val="center"/>
          </w:tcPr>
          <w:p>
            <w:r>
              <w:rPr>
                <w:b w:val="false"/>
                <w:bCs w:val="false"/>
                <w:color w:val="1F2937"/>
                <w:sz w:val="19"/>
                <w:szCs w:val="19"/>
              </w:rPr>
              <w:t xml:space="preserve">6–10</w:t>
            </w:r>
          </w:p>
        </w:tc>
      </w:tr>
      <w:tr>
        <w:trPr>
          <w:cantSplit/>
        </w:trPr>
        <w:tc>
          <w:tcPr>
            <w:tcW w:type="dxa" w:w="1400"/>
            <w:tcMar>
              <w:top w:type="dxa" w:w="100"/>
              <w:left w:type="dxa" w:w="120"/>
              <w:bottom w:type="dxa" w:w="100"/>
              <w:right w:type="dxa" w:w="120"/>
            </w:tcMar>
            <w:vAlign w:val="center"/>
          </w:tcPr>
          <w:p>
            <w:r>
              <w:rPr>
                <w:b w:val="false"/>
                <w:bCs w:val="false"/>
                <w:color w:val="1F2937"/>
                <w:sz w:val="19"/>
                <w:szCs w:val="19"/>
              </w:rPr>
              <w:t xml:space="preserve">0:55–1:05</w:t>
            </w:r>
          </w:p>
        </w:tc>
        <w:tc>
          <w:tcPr>
            <w:tcW w:type="dxa" w:w="4600"/>
            <w:tcMar>
              <w:top w:type="dxa" w:w="100"/>
              <w:left w:type="dxa" w:w="120"/>
              <w:bottom w:type="dxa" w:w="100"/>
              <w:right w:type="dxa" w:w="120"/>
            </w:tcMar>
            <w:vAlign w:val="center"/>
          </w:tcPr>
          <w:p>
            <w:r>
              <w:rPr>
                <w:b w:val="false"/>
                <w:bCs w:val="false"/>
                <w:color w:val="1F2937"/>
                <w:sz w:val="19"/>
                <w:szCs w:val="19"/>
              </w:rPr>
              <w:t xml:space="preserve">Pauze</w:t>
            </w:r>
          </w:p>
        </w:tc>
        <w:tc>
          <w:tcPr>
            <w:tcW w:type="dxa" w:w="2300"/>
            <w:tcMar>
              <w:top w:type="dxa" w:w="100"/>
              <w:left w:type="dxa" w:w="120"/>
              <w:bottom w:type="dxa" w:w="100"/>
              <w:right w:type="dxa" w:w="120"/>
            </w:tcMar>
            <w:vAlign w:val="center"/>
          </w:tcPr>
          <w:p>
            <w:r>
              <w:rPr>
                <w:b w:val="false"/>
                <w:bCs w:val="false"/>
                <w:color w:val="1F2937"/>
                <w:sz w:val="19"/>
                <w:szCs w:val="19"/>
              </w:rPr>
              <w:t xml:space="preserve"/>
            </w:r>
          </w:p>
        </w:tc>
        <w:tc>
          <w:tcPr>
            <w:tcW w:type="dxa" w:w="1438"/>
            <w:tcMar>
              <w:top w:type="dxa" w:w="100"/>
              <w:left w:type="dxa" w:w="120"/>
              <w:bottom w:type="dxa" w:w="100"/>
              <w:right w:type="dxa" w:w="120"/>
            </w:tcMar>
            <w:vAlign w:val="center"/>
          </w:tcPr>
          <w:p>
            <w:r>
              <w:rPr>
                <w:b w:val="false"/>
                <w:bCs w:val="false"/>
                <w:color w:val="1F2937"/>
                <w:sz w:val="19"/>
                <w:szCs w:val="19"/>
              </w:rPr>
              <w:t xml:space="preserve"/>
            </w:r>
          </w:p>
        </w:tc>
      </w:tr>
      <w:tr>
        <w:trPr>
          <w:cantSplit/>
        </w:trPr>
        <w:tc>
          <w:tcPr>
            <w:tcW w:type="dxa" w:w="1400"/>
            <w:tcMar>
              <w:top w:type="dxa" w:w="100"/>
              <w:left w:type="dxa" w:w="120"/>
              <w:bottom w:type="dxa" w:w="100"/>
              <w:right w:type="dxa" w:w="120"/>
            </w:tcMar>
            <w:vAlign w:val="center"/>
          </w:tcPr>
          <w:p>
            <w:r>
              <w:rPr>
                <w:b w:val="false"/>
                <w:bCs w:val="false"/>
                <w:color w:val="1F2937"/>
                <w:sz w:val="19"/>
                <w:szCs w:val="19"/>
              </w:rPr>
              <w:t xml:space="preserve">1:05–1:35</w:t>
            </w:r>
          </w:p>
        </w:tc>
        <w:tc>
          <w:tcPr>
            <w:tcW w:type="dxa" w:w="4600"/>
            <w:tcMar>
              <w:top w:type="dxa" w:w="100"/>
              <w:left w:type="dxa" w:w="120"/>
              <w:bottom w:type="dxa" w:w="100"/>
              <w:right w:type="dxa" w:w="120"/>
            </w:tcMar>
            <w:vAlign w:val="center"/>
          </w:tcPr>
          <w:p>
            <w:r>
              <w:rPr>
                <w:b w:val="false"/>
                <w:bCs w:val="false"/>
                <w:color w:val="1F2937"/>
                <w:sz w:val="19"/>
                <w:szCs w:val="19"/>
              </w:rPr>
              <w:t xml:space="preserve">Drie definities</w:t>
            </w:r>
          </w:p>
        </w:tc>
        <w:tc>
          <w:tcPr>
            <w:tcW w:type="dxa" w:w="2300"/>
            <w:tcMar>
              <w:top w:type="dxa" w:w="100"/>
              <w:left w:type="dxa" w:w="120"/>
              <w:bottom w:type="dxa" w:w="100"/>
              <w:right w:type="dxa" w:w="120"/>
            </w:tcMar>
            <w:vAlign w:val="center"/>
          </w:tcPr>
          <w:p>
            <w:r>
              <w:rPr>
                <w:b w:val="false"/>
                <w:bCs w:val="false"/>
                <w:color w:val="1F2937"/>
                <w:sz w:val="19"/>
                <w:szCs w:val="19"/>
              </w:rPr>
              <w:t xml:space="preserve">plenair</w:t>
            </w:r>
          </w:p>
        </w:tc>
        <w:tc>
          <w:tcPr>
            <w:tcW w:type="dxa" w:w="1438"/>
            <w:tcMar>
              <w:top w:type="dxa" w:w="100"/>
              <w:left w:type="dxa" w:w="120"/>
              <w:bottom w:type="dxa" w:w="100"/>
              <w:right w:type="dxa" w:w="120"/>
            </w:tcMar>
            <w:vAlign w:val="center"/>
          </w:tcPr>
          <w:p>
            <w:r>
              <w:rPr>
                <w:b w:val="false"/>
                <w:bCs w:val="false"/>
                <w:color w:val="1F2937"/>
                <w:sz w:val="19"/>
                <w:szCs w:val="19"/>
              </w:rPr>
              <w:t xml:space="preserve">11–15</w:t>
            </w:r>
          </w:p>
        </w:tc>
      </w:tr>
      <w:tr>
        <w:trPr>
          <w:cantSplit/>
        </w:trPr>
        <w:tc>
          <w:tcPr>
            <w:tcW w:type="dxa" w:w="1400"/>
            <w:tcMar>
              <w:top w:type="dxa" w:w="100"/>
              <w:left w:type="dxa" w:w="120"/>
              <w:bottom w:type="dxa" w:w="100"/>
              <w:right w:type="dxa" w:w="120"/>
            </w:tcMar>
            <w:vAlign w:val="center"/>
          </w:tcPr>
          <w:p>
            <w:r>
              <w:rPr>
                <w:b w:val="false"/>
                <w:bCs w:val="false"/>
                <w:color w:val="1F2937"/>
                <w:sz w:val="19"/>
                <w:szCs w:val="19"/>
              </w:rPr>
              <w:t xml:space="preserve">1:35–1:50</w:t>
            </w:r>
          </w:p>
        </w:tc>
        <w:tc>
          <w:tcPr>
            <w:tcW w:type="dxa" w:w="4600"/>
            <w:tcMar>
              <w:top w:type="dxa" w:w="100"/>
              <w:left w:type="dxa" w:w="120"/>
              <w:bottom w:type="dxa" w:w="100"/>
              <w:right w:type="dxa" w:w="120"/>
            </w:tcMar>
            <w:vAlign w:val="center"/>
          </w:tcPr>
          <w:p>
            <w:r>
              <w:rPr>
                <w:b w:val="false"/>
                <w:bCs w:val="false"/>
                <w:color w:val="1F2937"/>
                <w:sz w:val="19"/>
                <w:szCs w:val="19"/>
              </w:rPr>
              <w:t xml:space="preserve">Opdracht 1.1 — drie definities op eigen systeem</w:t>
            </w:r>
          </w:p>
        </w:tc>
        <w:tc>
          <w:tcPr>
            <w:tcW w:type="dxa" w:w="2300"/>
            <w:tcMar>
              <w:top w:type="dxa" w:w="100"/>
              <w:left w:type="dxa" w:w="120"/>
              <w:bottom w:type="dxa" w:w="100"/>
              <w:right w:type="dxa" w:w="120"/>
            </w:tcMar>
            <w:vAlign w:val="center"/>
          </w:tcPr>
          <w:p>
            <w:r>
              <w:rPr>
                <w:b w:val="false"/>
                <w:bCs w:val="false"/>
                <w:color w:val="1F2937"/>
                <w:sz w:val="19"/>
                <w:szCs w:val="19"/>
              </w:rPr>
              <w:t xml:space="preserve">duo's</w:t>
            </w:r>
          </w:p>
        </w:tc>
        <w:tc>
          <w:tcPr>
            <w:tcW w:type="dxa" w:w="1438"/>
            <w:tcMar>
              <w:top w:type="dxa" w:w="100"/>
              <w:left w:type="dxa" w:w="120"/>
              <w:bottom w:type="dxa" w:w="100"/>
              <w:right w:type="dxa" w:w="120"/>
            </w:tcMar>
            <w:vAlign w:val="center"/>
          </w:tcPr>
          <w:p>
            <w:r>
              <w:rPr>
                <w:b w:val="false"/>
                <w:bCs w:val="false"/>
                <w:color w:val="1F2937"/>
                <w:sz w:val="19"/>
                <w:szCs w:val="19"/>
              </w:rPr>
              <w:t xml:space="preserve">—</w:t>
            </w:r>
          </w:p>
        </w:tc>
      </w:tr>
      <w:tr>
        <w:trPr>
          <w:cantSplit/>
        </w:trPr>
        <w:tc>
          <w:tcPr>
            <w:tcW w:type="dxa" w:w="1400"/>
            <w:tcMar>
              <w:top w:type="dxa" w:w="100"/>
              <w:left w:type="dxa" w:w="120"/>
              <w:bottom w:type="dxa" w:w="100"/>
              <w:right w:type="dxa" w:w="120"/>
            </w:tcMar>
            <w:vAlign w:val="center"/>
          </w:tcPr>
          <w:p>
            <w:r>
              <w:rPr>
                <w:b w:val="false"/>
                <w:bCs w:val="false"/>
                <w:color w:val="1F2937"/>
                <w:sz w:val="19"/>
                <w:szCs w:val="19"/>
              </w:rPr>
              <w:t xml:space="preserve">1:50–2:05</w:t>
            </w:r>
          </w:p>
        </w:tc>
        <w:tc>
          <w:tcPr>
            <w:tcW w:type="dxa" w:w="4600"/>
            <w:tcMar>
              <w:top w:type="dxa" w:w="100"/>
              <w:left w:type="dxa" w:w="120"/>
              <w:bottom w:type="dxa" w:w="100"/>
              <w:right w:type="dxa" w:w="120"/>
            </w:tcMar>
            <w:vAlign w:val="center"/>
          </w:tcPr>
          <w:p>
            <w:r>
              <w:rPr>
                <w:b w:val="false"/>
                <w:bCs w:val="false"/>
                <w:color w:val="1F2937"/>
                <w:sz w:val="19"/>
                <w:szCs w:val="19"/>
              </w:rPr>
              <w:t xml:space="preserve">Wat architectuur niet is</w:t>
            </w:r>
          </w:p>
        </w:tc>
        <w:tc>
          <w:tcPr>
            <w:tcW w:type="dxa" w:w="2300"/>
            <w:tcMar>
              <w:top w:type="dxa" w:w="100"/>
              <w:left w:type="dxa" w:w="120"/>
              <w:bottom w:type="dxa" w:w="100"/>
              <w:right w:type="dxa" w:w="120"/>
            </w:tcMar>
            <w:vAlign w:val="center"/>
          </w:tcPr>
          <w:p>
            <w:r>
              <w:rPr>
                <w:b w:val="false"/>
                <w:bCs w:val="false"/>
                <w:color w:val="1F2937"/>
                <w:sz w:val="19"/>
                <w:szCs w:val="19"/>
              </w:rPr>
              <w:t xml:space="preserve">plenair</w:t>
            </w:r>
          </w:p>
        </w:tc>
        <w:tc>
          <w:tcPr>
            <w:tcW w:type="dxa" w:w="1438"/>
            <w:tcMar>
              <w:top w:type="dxa" w:w="100"/>
              <w:left w:type="dxa" w:w="120"/>
              <w:bottom w:type="dxa" w:w="100"/>
              <w:right w:type="dxa" w:w="120"/>
            </w:tcMar>
            <w:vAlign w:val="center"/>
          </w:tcPr>
          <w:p>
            <w:r>
              <w:rPr>
                <w:b w:val="false"/>
                <w:bCs w:val="false"/>
                <w:color w:val="1F2937"/>
                <w:sz w:val="19"/>
                <w:szCs w:val="19"/>
              </w:rPr>
              <w:t xml:space="preserve">16</w:t>
            </w:r>
          </w:p>
        </w:tc>
      </w:tr>
      <w:tr>
        <w:trPr>
          <w:cantSplit/>
        </w:trPr>
        <w:tc>
          <w:tcPr>
            <w:tcW w:type="dxa" w:w="1400"/>
            <w:tcMar>
              <w:top w:type="dxa" w:w="100"/>
              <w:left w:type="dxa" w:w="120"/>
              <w:bottom w:type="dxa" w:w="100"/>
              <w:right w:type="dxa" w:w="120"/>
            </w:tcMar>
            <w:vAlign w:val="center"/>
          </w:tcPr>
          <w:p>
            <w:r>
              <w:rPr>
                <w:b w:val="false"/>
                <w:bCs w:val="false"/>
                <w:color w:val="1F2937"/>
                <w:sz w:val="19"/>
                <w:szCs w:val="19"/>
              </w:rPr>
              <w:t xml:space="preserve">2:05–2:20</w:t>
            </w:r>
          </w:p>
        </w:tc>
        <w:tc>
          <w:tcPr>
            <w:tcW w:type="dxa" w:w="4600"/>
            <w:tcMar>
              <w:top w:type="dxa" w:w="100"/>
              <w:left w:type="dxa" w:w="120"/>
              <w:bottom w:type="dxa" w:w="100"/>
              <w:right w:type="dxa" w:w="120"/>
            </w:tcMar>
            <w:vAlign w:val="center"/>
          </w:tcPr>
          <w:p>
            <w:r>
              <w:rPr>
                <w:b w:val="false"/>
                <w:bCs w:val="false"/>
                <w:color w:val="1F2937"/>
                <w:sz w:val="19"/>
                <w:szCs w:val="19"/>
              </w:rPr>
              <w:t xml:space="preserve">Het significantiecriterium</w:t>
            </w:r>
          </w:p>
        </w:tc>
        <w:tc>
          <w:tcPr>
            <w:tcW w:type="dxa" w:w="2300"/>
            <w:tcMar>
              <w:top w:type="dxa" w:w="100"/>
              <w:left w:type="dxa" w:w="120"/>
              <w:bottom w:type="dxa" w:w="100"/>
              <w:right w:type="dxa" w:w="120"/>
            </w:tcMar>
            <w:vAlign w:val="center"/>
          </w:tcPr>
          <w:p>
            <w:r>
              <w:rPr>
                <w:b w:val="false"/>
                <w:bCs w:val="false"/>
                <w:color w:val="1F2937"/>
                <w:sz w:val="19"/>
                <w:szCs w:val="19"/>
              </w:rPr>
              <w:t xml:space="preserve">plenair</w:t>
            </w:r>
          </w:p>
        </w:tc>
        <w:tc>
          <w:tcPr>
            <w:tcW w:type="dxa" w:w="1438"/>
            <w:tcMar>
              <w:top w:type="dxa" w:w="100"/>
              <w:left w:type="dxa" w:w="120"/>
              <w:bottom w:type="dxa" w:w="100"/>
              <w:right w:type="dxa" w:w="120"/>
            </w:tcMar>
            <w:vAlign w:val="center"/>
          </w:tcPr>
          <w:p>
            <w:r>
              <w:rPr>
                <w:b w:val="false"/>
                <w:bCs w:val="false"/>
                <w:color w:val="1F2937"/>
                <w:sz w:val="19"/>
                <w:szCs w:val="19"/>
              </w:rPr>
              <w:t xml:space="preserve">17–19</w:t>
            </w:r>
          </w:p>
        </w:tc>
      </w:tr>
      <w:tr>
        <w:trPr>
          <w:cantSplit/>
        </w:trPr>
        <w:tc>
          <w:tcPr>
            <w:tcW w:type="dxa" w:w="1400"/>
            <w:tcMar>
              <w:top w:type="dxa" w:w="100"/>
              <w:left w:type="dxa" w:w="120"/>
              <w:bottom w:type="dxa" w:w="100"/>
              <w:right w:type="dxa" w:w="120"/>
            </w:tcMar>
            <w:vAlign w:val="center"/>
          </w:tcPr>
          <w:p>
            <w:r>
              <w:rPr>
                <w:b w:val="false"/>
                <w:bCs w:val="false"/>
                <w:color w:val="1F2937"/>
                <w:sz w:val="19"/>
                <w:szCs w:val="19"/>
              </w:rPr>
              <w:t xml:space="preserve">2:20–2:45</w:t>
            </w:r>
          </w:p>
        </w:tc>
        <w:tc>
          <w:tcPr>
            <w:tcW w:type="dxa" w:w="4600"/>
            <w:tcMar>
              <w:top w:type="dxa" w:w="100"/>
              <w:left w:type="dxa" w:w="120"/>
              <w:bottom w:type="dxa" w:w="100"/>
              <w:right w:type="dxa" w:w="120"/>
            </w:tcMar>
            <w:vAlign w:val="center"/>
          </w:tcPr>
          <w:p>
            <w:r>
              <w:rPr>
                <w:b w:val="false"/>
                <w:bCs w:val="false"/>
                <w:color w:val="1F2937"/>
                <w:sz w:val="19"/>
                <w:szCs w:val="19"/>
              </w:rPr>
              <w:t xml:space="preserve">Opdracht 1.2 — significant of niet?</w:t>
            </w:r>
          </w:p>
        </w:tc>
        <w:tc>
          <w:tcPr>
            <w:tcW w:type="dxa" w:w="2300"/>
            <w:tcMar>
              <w:top w:type="dxa" w:w="100"/>
              <w:left w:type="dxa" w:w="120"/>
              <w:bottom w:type="dxa" w:w="100"/>
              <w:right w:type="dxa" w:w="120"/>
            </w:tcMar>
            <w:vAlign w:val="center"/>
          </w:tcPr>
          <w:p>
            <w:r>
              <w:rPr>
                <w:b w:val="false"/>
                <w:bCs w:val="false"/>
                <w:color w:val="1F2937"/>
                <w:sz w:val="19"/>
                <w:szCs w:val="19"/>
              </w:rPr>
              <w:t xml:space="preserve">individueel + plenair</w:t>
            </w:r>
          </w:p>
        </w:tc>
        <w:tc>
          <w:tcPr>
            <w:tcW w:type="dxa" w:w="1438"/>
            <w:tcMar>
              <w:top w:type="dxa" w:w="100"/>
              <w:left w:type="dxa" w:w="120"/>
              <w:bottom w:type="dxa" w:w="100"/>
              <w:right w:type="dxa" w:w="120"/>
            </w:tcMar>
            <w:vAlign w:val="center"/>
          </w:tcPr>
          <w:p>
            <w:r>
              <w:rPr>
                <w:b w:val="false"/>
                <w:bCs w:val="false"/>
                <w:color w:val="1F2937"/>
                <w:sz w:val="19"/>
                <w:szCs w:val="19"/>
              </w:rPr>
              <w:t xml:space="preserve">20</w:t>
            </w:r>
          </w:p>
        </w:tc>
      </w:tr>
      <w:tr>
        <w:trPr>
          <w:cantSplit/>
        </w:trPr>
        <w:tc>
          <w:tcPr>
            <w:tcW w:type="dxa" w:w="1400"/>
            <w:tcMar>
              <w:top w:type="dxa" w:w="100"/>
              <w:left w:type="dxa" w:w="120"/>
              <w:bottom w:type="dxa" w:w="100"/>
              <w:right w:type="dxa" w:w="120"/>
            </w:tcMar>
            <w:vAlign w:val="center"/>
          </w:tcPr>
          <w:p>
            <w:r>
              <w:rPr>
                <w:b w:val="false"/>
                <w:bCs w:val="false"/>
                <w:color w:val="1F2937"/>
                <w:sz w:val="19"/>
                <w:szCs w:val="19"/>
              </w:rPr>
              <w:t xml:space="preserve">2:45–2:55</w:t>
            </w:r>
          </w:p>
        </w:tc>
        <w:tc>
          <w:tcPr>
            <w:tcW w:type="dxa" w:w="4600"/>
            <w:tcMar>
              <w:top w:type="dxa" w:w="100"/>
              <w:left w:type="dxa" w:w="120"/>
              <w:bottom w:type="dxa" w:w="100"/>
              <w:right w:type="dxa" w:w="120"/>
            </w:tcMar>
            <w:vAlign w:val="center"/>
          </w:tcPr>
          <w:p>
            <w:r>
              <w:rPr>
                <w:b w:val="false"/>
                <w:bCs w:val="false"/>
                <w:color w:val="1F2937"/>
                <w:sz w:val="19"/>
                <w:szCs w:val="19"/>
              </w:rPr>
              <w:t xml:space="preserve">Pauze</w:t>
            </w:r>
          </w:p>
        </w:tc>
        <w:tc>
          <w:tcPr>
            <w:tcW w:type="dxa" w:w="2300"/>
            <w:tcMar>
              <w:top w:type="dxa" w:w="100"/>
              <w:left w:type="dxa" w:w="120"/>
              <w:bottom w:type="dxa" w:w="100"/>
              <w:right w:type="dxa" w:w="120"/>
            </w:tcMar>
            <w:vAlign w:val="center"/>
          </w:tcPr>
          <w:p>
            <w:r>
              <w:rPr>
                <w:b w:val="false"/>
                <w:bCs w:val="false"/>
                <w:color w:val="1F2937"/>
                <w:sz w:val="19"/>
                <w:szCs w:val="19"/>
              </w:rPr>
              <w:t xml:space="preserve"/>
            </w:r>
          </w:p>
        </w:tc>
        <w:tc>
          <w:tcPr>
            <w:tcW w:type="dxa" w:w="1438"/>
            <w:tcMar>
              <w:top w:type="dxa" w:w="100"/>
              <w:left w:type="dxa" w:w="120"/>
              <w:bottom w:type="dxa" w:w="100"/>
              <w:right w:type="dxa" w:w="120"/>
            </w:tcMar>
            <w:vAlign w:val="center"/>
          </w:tcPr>
          <w:p>
            <w:r>
              <w:rPr>
                <w:b w:val="false"/>
                <w:bCs w:val="false"/>
                <w:color w:val="1F2937"/>
                <w:sz w:val="19"/>
                <w:szCs w:val="19"/>
              </w:rPr>
              <w:t xml:space="preserve"/>
            </w:r>
          </w:p>
        </w:tc>
      </w:tr>
      <w:tr>
        <w:trPr>
          <w:cantSplit/>
        </w:trPr>
        <w:tc>
          <w:tcPr>
            <w:tcW w:type="dxa" w:w="1400"/>
            <w:tcMar>
              <w:top w:type="dxa" w:w="100"/>
              <w:left w:type="dxa" w:w="120"/>
              <w:bottom w:type="dxa" w:w="100"/>
              <w:right w:type="dxa" w:w="120"/>
            </w:tcMar>
            <w:vAlign w:val="center"/>
          </w:tcPr>
          <w:p>
            <w:r>
              <w:rPr>
                <w:b w:val="false"/>
                <w:bCs w:val="false"/>
                <w:color w:val="1F2937"/>
                <w:sz w:val="19"/>
                <w:szCs w:val="19"/>
              </w:rPr>
              <w:t xml:space="preserve">2:55–3:15</w:t>
            </w:r>
          </w:p>
        </w:tc>
        <w:tc>
          <w:tcPr>
            <w:tcW w:type="dxa" w:w="4600"/>
            <w:tcMar>
              <w:top w:type="dxa" w:w="100"/>
              <w:left w:type="dxa" w:w="120"/>
              <w:bottom w:type="dxa" w:w="100"/>
              <w:right w:type="dxa" w:w="120"/>
            </w:tcMar>
            <w:vAlign w:val="center"/>
          </w:tcPr>
          <w:p>
            <w:r>
              <w:rPr>
                <w:b w:val="false"/>
                <w:bCs w:val="false"/>
                <w:color w:val="1F2937"/>
                <w:sz w:val="19"/>
                <w:szCs w:val="19"/>
              </w:rPr>
              <w:t xml:space="preserve">De rol van de architect</w:t>
            </w:r>
          </w:p>
        </w:tc>
        <w:tc>
          <w:tcPr>
            <w:tcW w:type="dxa" w:w="2300"/>
            <w:tcMar>
              <w:top w:type="dxa" w:w="100"/>
              <w:left w:type="dxa" w:w="120"/>
              <w:bottom w:type="dxa" w:w="100"/>
              <w:right w:type="dxa" w:w="120"/>
            </w:tcMar>
            <w:vAlign w:val="center"/>
          </w:tcPr>
          <w:p>
            <w:r>
              <w:rPr>
                <w:b w:val="false"/>
                <w:bCs w:val="false"/>
                <w:color w:val="1F2937"/>
                <w:sz w:val="19"/>
                <w:szCs w:val="19"/>
              </w:rPr>
              <w:t xml:space="preserve">plenair</w:t>
            </w:r>
          </w:p>
        </w:tc>
        <w:tc>
          <w:tcPr>
            <w:tcW w:type="dxa" w:w="1438"/>
            <w:tcMar>
              <w:top w:type="dxa" w:w="100"/>
              <w:left w:type="dxa" w:w="120"/>
              <w:bottom w:type="dxa" w:w="100"/>
              <w:right w:type="dxa" w:w="120"/>
            </w:tcMar>
            <w:vAlign w:val="center"/>
          </w:tcPr>
          <w:p>
            <w:r>
              <w:rPr>
                <w:b w:val="false"/>
                <w:bCs w:val="false"/>
                <w:color w:val="1F2937"/>
                <w:sz w:val="19"/>
                <w:szCs w:val="19"/>
              </w:rPr>
              <w:t xml:space="preserve">21–25</w:t>
            </w:r>
          </w:p>
        </w:tc>
      </w:tr>
      <w:tr>
        <w:trPr>
          <w:cantSplit/>
        </w:trPr>
        <w:tc>
          <w:tcPr>
            <w:tcW w:type="dxa" w:w="1400"/>
            <w:tcMar>
              <w:top w:type="dxa" w:w="100"/>
              <w:left w:type="dxa" w:w="120"/>
              <w:bottom w:type="dxa" w:w="100"/>
              <w:right w:type="dxa" w:w="120"/>
            </w:tcMar>
            <w:vAlign w:val="center"/>
          </w:tcPr>
          <w:p>
            <w:r>
              <w:rPr>
                <w:b w:val="false"/>
                <w:bCs w:val="false"/>
                <w:color w:val="1F2937"/>
                <w:sz w:val="19"/>
                <w:szCs w:val="19"/>
              </w:rPr>
              <w:t xml:space="preserve">3:15–3:40</w:t>
            </w:r>
          </w:p>
        </w:tc>
        <w:tc>
          <w:tcPr>
            <w:tcW w:type="dxa" w:w="4600"/>
            <w:tcMar>
              <w:top w:type="dxa" w:w="100"/>
              <w:left w:type="dxa" w:w="120"/>
              <w:bottom w:type="dxa" w:w="100"/>
              <w:right w:type="dxa" w:w="120"/>
            </w:tcMar>
            <w:vAlign w:val="center"/>
          </w:tcPr>
          <w:p>
            <w:r>
              <w:rPr>
                <w:b w:val="false"/>
                <w:bCs w:val="false"/>
                <w:color w:val="1F2937"/>
                <w:sz w:val="19"/>
                <w:szCs w:val="19"/>
              </w:rPr>
              <w:t xml:space="preserve">Opdracht 1.4 — de rolvraag</w:t>
            </w:r>
          </w:p>
        </w:tc>
        <w:tc>
          <w:tcPr>
            <w:tcW w:type="dxa" w:w="2300"/>
            <w:tcMar>
              <w:top w:type="dxa" w:w="100"/>
              <w:left w:type="dxa" w:w="120"/>
              <w:bottom w:type="dxa" w:w="100"/>
              <w:right w:type="dxa" w:w="120"/>
            </w:tcMar>
            <w:vAlign w:val="center"/>
          </w:tcPr>
          <w:p>
            <w:r>
              <w:rPr>
                <w:b w:val="false"/>
                <w:bCs w:val="false"/>
                <w:color w:val="1F2937"/>
                <w:sz w:val="19"/>
                <w:szCs w:val="19"/>
              </w:rPr>
              <w:t xml:space="preserve">rollenspel</w:t>
            </w:r>
          </w:p>
        </w:tc>
        <w:tc>
          <w:tcPr>
            <w:tcW w:type="dxa" w:w="1438"/>
            <w:tcMar>
              <w:top w:type="dxa" w:w="100"/>
              <w:left w:type="dxa" w:w="120"/>
              <w:bottom w:type="dxa" w:w="100"/>
              <w:right w:type="dxa" w:w="120"/>
            </w:tcMar>
            <w:vAlign w:val="center"/>
          </w:tcPr>
          <w:p>
            <w:r>
              <w:rPr>
                <w:b w:val="false"/>
                <w:bCs w:val="false"/>
                <w:color w:val="1F2937"/>
                <w:sz w:val="19"/>
                <w:szCs w:val="19"/>
              </w:rPr>
              <w:t xml:space="preserve">26</w:t>
            </w:r>
          </w:p>
        </w:tc>
      </w:tr>
      <w:tr>
        <w:trPr>
          <w:cantSplit/>
        </w:trPr>
        <w:tc>
          <w:tcPr>
            <w:tcW w:type="dxa" w:w="1400"/>
            <w:tcMar>
              <w:top w:type="dxa" w:w="100"/>
              <w:left w:type="dxa" w:w="120"/>
              <w:bottom w:type="dxa" w:w="100"/>
              <w:right w:type="dxa" w:w="120"/>
            </w:tcMar>
            <w:vAlign w:val="center"/>
          </w:tcPr>
          <w:p>
            <w:r>
              <w:rPr>
                <w:b w:val="false"/>
                <w:bCs w:val="false"/>
                <w:color w:val="1F2937"/>
                <w:sz w:val="19"/>
                <w:szCs w:val="19"/>
              </w:rPr>
              <w:t xml:space="preserve">3:40–3:55</w:t>
            </w:r>
          </w:p>
        </w:tc>
        <w:tc>
          <w:tcPr>
            <w:tcW w:type="dxa" w:w="4600"/>
            <w:tcMar>
              <w:top w:type="dxa" w:w="100"/>
              <w:left w:type="dxa" w:w="120"/>
              <w:bottom w:type="dxa" w:w="100"/>
              <w:right w:type="dxa" w:w="120"/>
            </w:tcMar>
            <w:vAlign w:val="center"/>
          </w:tcPr>
          <w:p>
            <w:r>
              <w:rPr>
                <w:b w:val="false"/>
                <w:bCs w:val="false"/>
                <w:color w:val="1F2937"/>
                <w:sz w:val="19"/>
                <w:szCs w:val="19"/>
              </w:rPr>
              <w:t xml:space="preserve">Impliciete architectuur + de zeven bevindingen</w:t>
            </w:r>
          </w:p>
        </w:tc>
        <w:tc>
          <w:tcPr>
            <w:tcW w:type="dxa" w:w="2300"/>
            <w:tcMar>
              <w:top w:type="dxa" w:w="100"/>
              <w:left w:type="dxa" w:w="120"/>
              <w:bottom w:type="dxa" w:w="100"/>
              <w:right w:type="dxa" w:w="120"/>
            </w:tcMar>
            <w:vAlign w:val="center"/>
          </w:tcPr>
          <w:p>
            <w:r>
              <w:rPr>
                <w:b w:val="false"/>
                <w:bCs w:val="false"/>
                <w:color w:val="1F2937"/>
                <w:sz w:val="19"/>
                <w:szCs w:val="19"/>
              </w:rPr>
              <w:t xml:space="preserve">plenair</w:t>
            </w:r>
          </w:p>
        </w:tc>
        <w:tc>
          <w:tcPr>
            <w:tcW w:type="dxa" w:w="1438"/>
            <w:tcMar>
              <w:top w:type="dxa" w:w="100"/>
              <w:left w:type="dxa" w:w="120"/>
              <w:bottom w:type="dxa" w:w="100"/>
              <w:right w:type="dxa" w:w="120"/>
            </w:tcMar>
            <w:vAlign w:val="center"/>
          </w:tcPr>
          <w:p>
            <w:r>
              <w:rPr>
                <w:b w:val="false"/>
                <w:bCs w:val="false"/>
                <w:color w:val="1F2937"/>
                <w:sz w:val="19"/>
                <w:szCs w:val="19"/>
              </w:rPr>
              <w:t xml:space="preserve">27–32</w:t>
            </w:r>
          </w:p>
        </w:tc>
      </w:tr>
      <w:tr>
        <w:trPr>
          <w:cantSplit/>
        </w:trPr>
        <w:tc>
          <w:tcPr>
            <w:tcW w:type="dxa" w:w="1400"/>
            <w:tcMar>
              <w:top w:type="dxa" w:w="100"/>
              <w:left w:type="dxa" w:w="120"/>
              <w:bottom w:type="dxa" w:w="100"/>
              <w:right w:type="dxa" w:w="120"/>
            </w:tcMar>
            <w:vAlign w:val="center"/>
          </w:tcPr>
          <w:p>
            <w:r>
              <w:rPr>
                <w:b w:val="false"/>
                <w:bCs w:val="false"/>
                <w:color w:val="1F2937"/>
                <w:sz w:val="19"/>
                <w:szCs w:val="19"/>
              </w:rPr>
              <w:t xml:space="preserve">3:55–4:00</w:t>
            </w:r>
          </w:p>
        </w:tc>
        <w:tc>
          <w:tcPr>
            <w:tcW w:type="dxa" w:w="4600"/>
            <w:tcMar>
              <w:top w:type="dxa" w:w="100"/>
              <w:left w:type="dxa" w:w="120"/>
              <w:bottom w:type="dxa" w:w="100"/>
              <w:right w:type="dxa" w:w="120"/>
            </w:tcMar>
            <w:vAlign w:val="center"/>
          </w:tcPr>
          <w:p>
            <w:r>
              <w:rPr>
                <w:b w:val="false"/>
                <w:bCs w:val="false"/>
                <w:color w:val="1F2937"/>
                <w:sz w:val="19"/>
                <w:szCs w:val="19"/>
              </w:rPr>
              <w:t xml:space="preserve">Huiswerk, vooruitblik deel 2</w:t>
            </w:r>
          </w:p>
        </w:tc>
        <w:tc>
          <w:tcPr>
            <w:tcW w:type="dxa" w:w="2300"/>
            <w:tcMar>
              <w:top w:type="dxa" w:w="100"/>
              <w:left w:type="dxa" w:w="120"/>
              <w:bottom w:type="dxa" w:w="100"/>
              <w:right w:type="dxa" w:w="120"/>
            </w:tcMar>
            <w:vAlign w:val="center"/>
          </w:tcPr>
          <w:p>
            <w:r>
              <w:rPr>
                <w:b w:val="false"/>
                <w:bCs w:val="false"/>
                <w:color w:val="1F2937"/>
                <w:sz w:val="19"/>
                <w:szCs w:val="19"/>
              </w:rPr>
              <w:t xml:space="preserve">plenair</w:t>
            </w:r>
          </w:p>
        </w:tc>
        <w:tc>
          <w:tcPr>
            <w:tcW w:type="dxa" w:w="1438"/>
            <w:tcMar>
              <w:top w:type="dxa" w:w="100"/>
              <w:left w:type="dxa" w:w="120"/>
              <w:bottom w:type="dxa" w:w="100"/>
              <w:right w:type="dxa" w:w="120"/>
            </w:tcMar>
            <w:vAlign w:val="center"/>
          </w:tcPr>
          <w:p>
            <w:r>
              <w:rPr>
                <w:b w:val="false"/>
                <w:bCs w:val="false"/>
                <w:color w:val="1F2937"/>
                <w:sz w:val="19"/>
                <w:szCs w:val="19"/>
              </w:rPr>
              <w:t xml:space="preserve">33–34</w:t>
            </w:r>
          </w:p>
        </w:tc>
      </w:tr>
    </w:tbl>
    <w:p>
      <w:pPr>
        <w:spacing w:after="300"/>
      </w:pPr>
    </w:p>
    <w:p>
      <w:pPr>
        <w:spacing w:after="160" w:line="276"/>
      </w:pPr>
      <w:r>
        <w:rPr>
          <w:b/>
          <w:bCs/>
          <w:color w:val="1F2937"/>
          <w:sz w:val="22"/>
          <w:szCs w:val="22"/>
        </w:rPr>
        <w:t xml:space="preserve">Opdracht 1.3 (bevindingen ordenen) staat niet in de planning. </w:t>
      </w:r>
      <w:r>
        <w:rPr>
          <w:color w:val="1F2937"/>
          <w:sz w:val="22"/>
          <w:szCs w:val="22"/>
        </w:rPr>
        <w:t xml:space="preserve">Die is bedoeld als reserve of als vervanging van opdracht 1.4 wanneer de groep klein is (&lt; 6 deelnemers, rollenspel werkt dan slecht) of erg technisch georiënteerd en aan de rolvraag weinig heeft. Bij een dagdeel van 4,5 uur kunt u 1.3 en 1.4 beide doen; kort dan de casusintroductie in tot 20 minuten.</w:t>
      </w:r>
    </w:p>
    <w:p>
      <w:pPr>
        <w:spacing w:after="160" w:line="276"/>
      </w:pPr>
      <w:r>
        <w:rPr>
          <w:b/>
          <w:bCs/>
          <w:color w:val="1F2937"/>
          <w:sz w:val="22"/>
          <w:szCs w:val="22"/>
        </w:rPr>
        <w:t xml:space="preserve">Bij een variant van 2 dagdelen </w:t>
      </w:r>
      <w:r>
        <w:rPr>
          <w:color w:val="1F2937"/>
          <w:sz w:val="22"/>
          <w:szCs w:val="22"/>
        </w:rPr>
        <w:t xml:space="preserve">(sommige klanten spreiden niveau 1 over tien halve dagen van 2 uur): knip na opdracht 1.2. Begin het tweede blok met een korte terugblik op het criterium, en gebruik de vrijgekomen tijd voor opdracht 1.3.</w:t>
      </w:r>
    </w:p>
    <w:p>
      <w:pPr>
        <w:pStyle w:val="Heading1"/>
        <w:pBdr>
          <w:bottom w:val="single" w:color="E5E7EB" w:sz="6" w:space="6"/>
        </w:pBdr>
        <w:spacing w:after="180" w:before="380"/>
      </w:pPr>
      <w:r>
        <w:rPr>
          <w:b/>
          <w:bCs/>
          <w:color w:val="1F3A5F"/>
          <w:sz w:val="30"/>
          <w:szCs w:val="30"/>
        </w:rPr>
        <w:t xml:space="preserve">3. Per onderdeel: aanpak, valkuilen, sturing</w:t>
      </w:r>
    </w:p>
    <w:p>
      <w:pPr>
        <w:pStyle w:val="Heading2"/>
        <w:spacing w:after="140" w:before="260"/>
      </w:pPr>
      <w:r>
        <w:rPr>
          <w:b/>
          <w:bCs/>
          <w:color w:val="4A6789"/>
          <w:sz w:val="24"/>
          <w:szCs w:val="24"/>
        </w:rPr>
        <w:t xml:space="preserve">3.1 Opening en waarom een mislukking (slides 4–5)</w:t>
      </w:r>
    </w:p>
    <w:p>
      <w:pPr>
        <w:spacing w:after="160" w:line="276"/>
      </w:pPr>
      <w:r>
        <w:rPr>
          <w:color w:val="1F2937"/>
          <w:sz w:val="22"/>
          <w:szCs w:val="22"/>
        </w:rPr>
        <w:t xml:space="preserve">Houd dit kort en stel er geen vraag bij. Het punt is retorisch en werkt alleen als het er staat. Wat u wél moet doen: expliciet aankondigen dat de casus negen delen lang meegaat en dat het huiswerk van vandaag in deel 10 terugkomt. Deelnemers die dat op dag 1 horen, bewaren hun materiaal.</w:t>
      </w:r>
    </w:p>
    <w:p>
      <w:pPr>
        <w:pStyle w:val="Heading2"/>
        <w:spacing w:after="140" w:before="260"/>
      </w:pPr>
      <w:r>
        <w:rPr>
          <w:b/>
          <w:bCs/>
          <w:color w:val="4A6789"/>
          <w:sz w:val="24"/>
          <w:szCs w:val="24"/>
        </w:rPr>
        <w:t xml:space="preserve">3.2 Casusintroductie (slides 6–10)</w:t>
      </w:r>
    </w:p>
    <w:p>
      <w:pPr>
        <w:spacing w:after="160" w:line="276"/>
      </w:pPr>
      <w:r>
        <w:rPr>
          <w:b/>
          <w:bCs/>
          <w:color w:val="1F2937"/>
          <w:sz w:val="22"/>
          <w:szCs w:val="22"/>
        </w:rPr>
        <w:t xml:space="preserve">Doel: </w:t>
      </w:r>
      <w:r>
        <w:rPr>
          <w:color w:val="1F2937"/>
          <w:sz w:val="22"/>
          <w:szCs w:val="22"/>
        </w:rPr>
        <w:t xml:space="preserve">de groep moet de casus geloven. Werkt de casus niet, dan wordt elke opdracht een academische oefening.</w:t>
      </w:r>
    </w:p>
    <w:p>
      <w:pPr>
        <w:spacing w:after="160" w:line="276"/>
      </w:pPr>
      <w:r>
        <w:rPr>
          <w:b/>
          <w:bCs/>
          <w:color w:val="1F2937"/>
          <w:sz w:val="22"/>
          <w:szCs w:val="22"/>
        </w:rPr>
        <w:t xml:space="preserve">Aanpak. </w:t>
      </w:r>
      <w:r>
        <w:rPr>
          <w:color w:val="1F2937"/>
          <w:sz w:val="22"/>
          <w:szCs w:val="22"/>
        </w:rPr>
        <w:t xml:space="preserve">Vertel de casus als verhaal, niet als slide-oplezing. De slides zijn ondersteuning. De volgorde die het beste werkt: eerst de organisatie (Meridiaan is herkenbaar middelgroot), dan het probleem (zeven mutatieroutes — laat de groep raden hoeveel er zijn voordat u het toont; het antwoord is altijd te laag), dan de opdracht, dan Mutatie 1.0.</w:t>
      </w:r>
    </w:p>
    <w:p>
      <w:pPr>
        <w:spacing w:after="160" w:line="276"/>
      </w:pPr>
      <w:r>
        <w:rPr>
          <w:b/>
          <w:bCs/>
          <w:color w:val="1F2937"/>
          <w:sz w:val="22"/>
          <w:szCs w:val="22"/>
        </w:rPr>
        <w:t xml:space="preserve">Sterk moment. </w:t>
      </w:r>
      <w:r>
        <w:rPr>
          <w:color w:val="1F2937"/>
          <w:sz w:val="22"/>
          <w:szCs w:val="22"/>
        </w:rPr>
        <w:t xml:space="preserve">Slide 10 (6 versus 90 seconden, ontdekt in week 58 van 60) is het emotionele anker van het hele niveau. Laat er stilte na vallen. Ga niet meteen uitleggen; de verklaring komt in deel 6.</w:t>
      </w:r>
    </w:p>
    <w:p>
      <w:pPr>
        <w:spacing w:after="160" w:line="276"/>
      </w:pPr>
      <w:r>
        <w:rPr>
          <w:b/>
          <w:bCs/>
          <w:color w:val="1F2937"/>
          <w:sz w:val="22"/>
          <w:szCs w:val="22"/>
        </w:rPr>
        <w:t xml:space="preserve">Valkuil 1 — de groep gaat oplossen. </w:t>
      </w:r>
      <w:r>
        <w:rPr>
          <w:color w:val="1F2937"/>
          <w:sz w:val="22"/>
          <w:szCs w:val="22"/>
        </w:rPr>
        <w:t xml:space="preserve">Binnen vijf minuten na de casusintroductie stelt iemand voor om caching anders in te richten of de bus te vervangen. Dat is enthousiasme en u moet het niet afkappen, maar wel parkeren: “goede reflex, en we hebben in deel 6 het gereedschap om te beoordelen of dat helpt — noteer het, we komen erop terug.” Houd hiervoor een zichtbare parkeerlijst bij (flip-over of digitaal). Die lijst gebruikt u in deel 10 opnieuw: het is instructief om te laten zien hoeveel van de dag-1-oplossingen na negen delen zijn gesneuveld.</w:t>
      </w:r>
    </w:p>
    <w:p>
      <w:pPr>
        <w:spacing w:after="160" w:line="276"/>
      </w:pPr>
      <w:r>
        <w:rPr>
          <w:b/>
          <w:bCs/>
          <w:color w:val="1F2937"/>
          <w:sz w:val="22"/>
          <w:szCs w:val="22"/>
        </w:rPr>
        <w:t xml:space="preserve">Valkuil 2 — de leveranciersdiscussie. </w:t>
      </w:r>
      <w:r>
        <w:rPr>
          <w:color w:val="1F2937"/>
          <w:sz w:val="22"/>
          <w:szCs w:val="22"/>
        </w:rPr>
        <w:t xml:space="preserve">Vrijwel elke groep komt binnen tien minuten bij “dus de leverancier heeft gefaald”. Ga hier één keer stevig doorheen, met het argument uit paragraaf 1.8 van de reader: architectuur is weggecontracteerd zonder toetsbare eisen, dus een leverancier die de opdracht correct uitvoert levert precies dit. Als u dit nu niet doet, komt het in elk volgend deel terug.</w:t>
      </w:r>
    </w:p>
    <w:p>
      <w:pPr>
        <w:spacing w:after="160" w:line="276"/>
      </w:pPr>
      <w:r>
        <w:rPr>
          <w:b/>
          <w:bCs/>
          <w:color w:val="1F2937"/>
          <w:sz w:val="22"/>
          <w:szCs w:val="22"/>
        </w:rPr>
        <w:t xml:space="preserve">Valkuil 3 — de agile-discussie. </w:t>
      </w:r>
      <w:r>
        <w:rPr>
          <w:color w:val="1F2937"/>
          <w:sz w:val="22"/>
          <w:szCs w:val="22"/>
        </w:rPr>
        <w:t xml:space="preserve">Idem. Sommige groepen zijn hier heftig in, in beide richtingen. Gebruik de formulering uit de reader: geen van de zeven bevindingen volgt uit iteratief werken; B1, B2 en B7 zijn wel dingen die iteratief werken moeilijker maakt als je ze niet expliciet belegt. Beloof de volledige behandeling in deel 9 en houd u daaraan.</w:t>
      </w:r>
    </w:p>
    <w:p>
      <w:pPr>
        <w:pStyle w:val="Heading2"/>
        <w:spacing w:after="140" w:before="260"/>
      </w:pPr>
      <w:r>
        <w:rPr>
          <w:b/>
          <w:bCs/>
          <w:color w:val="4A6789"/>
          <w:sz w:val="24"/>
          <w:szCs w:val="24"/>
        </w:rPr>
        <w:t xml:space="preserve">3.3 De drie definities (slides 11–15)</w:t>
      </w:r>
    </w:p>
    <w:p>
      <w:pPr>
        <w:spacing w:after="160" w:line="276"/>
      </w:pPr>
      <w:r>
        <w:rPr>
          <w:b/>
          <w:bCs/>
          <w:color w:val="1F2937"/>
          <w:sz w:val="22"/>
          <w:szCs w:val="22"/>
        </w:rPr>
        <w:t xml:space="preserve">Doel: </w:t>
      </w:r>
      <w:r>
        <w:rPr>
          <w:color w:val="1F2937"/>
          <w:sz w:val="22"/>
          <w:szCs w:val="22"/>
        </w:rPr>
        <w:t xml:space="preserve">niet dat men de definities kan opzeggen, maar dat men begrijpt waaróm er drie zijn en wat elke ervan toevoegt.</w:t>
      </w:r>
    </w:p>
    <w:p>
      <w:pPr>
        <w:spacing w:after="160" w:line="276"/>
      </w:pPr>
      <w:r>
        <w:rPr>
          <w:b/>
          <w:bCs/>
          <w:color w:val="1F2937"/>
          <w:sz w:val="22"/>
          <w:szCs w:val="22"/>
        </w:rPr>
        <w:t xml:space="preserve">Aanpak. </w:t>
      </w:r>
      <w:r>
        <w:rPr>
          <w:color w:val="1F2937"/>
          <w:sz w:val="22"/>
          <w:szCs w:val="22"/>
        </w:rPr>
        <w:t xml:space="preserve">Behandel ze in de volgorde van de reader en sluit elke definitie af met de zin “wat deze definitie toevoegt is …”. Die herhaling is didactisch bedoeld.</w:t>
      </w:r>
    </w:p>
    <w:p>
      <w:pPr>
        <w:spacing w:after="160" w:line="276"/>
      </w:pPr>
      <w:r>
        <w:rPr>
          <w:b/>
          <w:bCs/>
          <w:color w:val="1F2937"/>
          <w:sz w:val="22"/>
          <w:szCs w:val="22"/>
        </w:rPr>
        <w:t xml:space="preserve">Het punt dat u niet mag missen: </w:t>
      </w:r>
      <w:r>
        <w:rPr>
          <w:color w:val="1F2937"/>
          <w:sz w:val="22"/>
          <w:szCs w:val="22"/>
        </w:rPr>
        <w:t xml:space="preserve">architectuur is meervoud (slide 12). Vraag de groep hoeveel structuren hun eigen systeem heeft. Vrijwel iedereen antwoordt met één, en meestal met de mappenstructuur van de repository. Dat maakt het punt zelf.</w:t>
      </w:r>
    </w:p>
    <w:p>
      <w:pPr>
        <w:spacing w:after="160" w:line="276"/>
      </w:pPr>
      <w:r>
        <w:rPr>
          <w:b/>
          <w:bCs/>
          <w:color w:val="1F2937"/>
          <w:sz w:val="22"/>
          <w:szCs w:val="22"/>
        </w:rPr>
        <w:t xml:space="preserve">Vraag die vrijwel altijd komt: </w:t>
      </w:r>
      <w:r>
        <w:rPr>
          <w:color w:val="1F2937"/>
          <w:sz w:val="22"/>
          <w:szCs w:val="22"/>
        </w:rPr>
        <w:t xml:space="preserve">“welke definitie moeten we voor het examen kennen?” Antwoord: het curriculum toetst begrip van de begrippen, niet het reproduceren van één auteur. Wie de drie perspectieven kan onderscheiden en toepassen, is voorbereid. Ga niet mee in de wens om één definitie als “de juiste” aan te wijzen.</w:t>
      </w:r>
    </w:p>
    <w:p>
      <w:pPr>
        <w:pStyle w:val="Heading2"/>
        <w:spacing w:after="140" w:before="260"/>
      </w:pPr>
      <w:r>
        <w:rPr>
          <w:b/>
          <w:bCs/>
          <w:color w:val="4A6789"/>
          <w:sz w:val="24"/>
          <w:szCs w:val="24"/>
        </w:rPr>
        <w:t xml:space="preserve">3.4 Opdracht 1.1 (duo's, 15 minuten in het dagdeel)</w:t>
      </w:r>
    </w:p>
    <w:p>
      <w:pPr>
        <w:spacing w:after="160" w:line="276"/>
      </w:pPr>
      <w:r>
        <w:rPr>
          <w:color w:val="1F2937"/>
          <w:sz w:val="22"/>
          <w:szCs w:val="22"/>
        </w:rPr>
        <w:t xml:space="preserve">Kort houden; dit is activering, geen diepgang. Loop rond en let op duo's die bij b) vastlopen — dat is het interessante signaal. Haal er bij de nabespreking (3 minuten) één ophalen: “wie vond b) het lastigst, en waarom?” Het antwoord “ik was er niet bij” is de opening naar B1 en naar deel 7.</w:t>
      </w:r>
    </w:p>
    <w:p>
      <w:pPr>
        <w:pStyle w:val="Heading2"/>
        <w:spacing w:after="140" w:before="260"/>
      </w:pPr>
      <w:r>
        <w:rPr>
          <w:b/>
          <w:bCs/>
          <w:color w:val="4A6789"/>
          <w:sz w:val="24"/>
          <w:szCs w:val="24"/>
        </w:rPr>
        <w:t xml:space="preserve">3.5 Wat architectuur niet is (slide 16)</w:t>
      </w:r>
    </w:p>
    <w:p>
      <w:pPr>
        <w:spacing w:after="160" w:line="276"/>
      </w:pPr>
      <w:r>
        <w:rPr>
          <w:b/>
          <w:bCs/>
          <w:color w:val="1F2937"/>
          <w:sz w:val="22"/>
          <w:szCs w:val="22"/>
        </w:rPr>
        <w:t xml:space="preserve">Valkuil: </w:t>
      </w:r>
      <w:r>
        <w:rPr>
          <w:color w:val="1F2937"/>
          <w:sz w:val="22"/>
          <w:szCs w:val="22"/>
        </w:rPr>
        <w:t xml:space="preserve">de EA-afbakening kost onbedoeld tien minuten als er enterprise-architecten in de zaal zitten. Houd het bij het onderscheid kaders stellen versus ontwerpen en verwijs voor meer naar de kruisverwijzing in de reader.</w:t>
      </w:r>
    </w:p>
    <w:p>
      <w:pPr>
        <w:pStyle w:val="Heading2"/>
        <w:spacing w:after="140" w:before="260"/>
      </w:pPr>
      <w:r>
        <w:rPr>
          <w:b/>
          <w:bCs/>
          <w:color w:val="4A6789"/>
          <w:sz w:val="24"/>
          <w:szCs w:val="24"/>
        </w:rPr>
        <w:t xml:space="preserve">3.6 Het significantiecriterium en opdracht 1.2 (slides 17–20)</w:t>
      </w:r>
    </w:p>
    <w:p>
      <w:pPr>
        <w:spacing w:after="160" w:line="276"/>
      </w:pPr>
      <w:r>
        <w:rPr>
          <w:color w:val="1F2937"/>
          <w:sz w:val="22"/>
          <w:szCs w:val="22"/>
        </w:rPr>
        <w:t xml:space="preserve">Dit is het inhoudelijke zwaartepunt van het dagdeel. Reserveer de tijd echt.</w:t>
      </w:r>
    </w:p>
    <w:p>
      <w:pPr>
        <w:spacing w:after="160" w:line="276"/>
      </w:pPr>
      <w:r>
        <w:rPr>
          <w:b/>
          <w:bCs/>
          <w:color w:val="1F2937"/>
          <w:sz w:val="22"/>
          <w:szCs w:val="22"/>
        </w:rPr>
        <w:t xml:space="preserve">Aanpak. </w:t>
      </w:r>
      <w:r>
        <w:rPr>
          <w:color w:val="1F2937"/>
          <w:sz w:val="22"/>
          <w:szCs w:val="22"/>
        </w:rPr>
        <w:t xml:space="preserve">Presenteer de vier vragen, doe daarna slide 19 (de cachebeslissing) klassikaal als voorbeeld — hardop de vier vragen langs. Pas daarna de opdracht.</w:t>
      </w:r>
    </w:p>
    <w:p>
      <w:pPr>
        <w:spacing w:after="160" w:line="276"/>
      </w:pPr>
      <w:r>
        <w:rPr>
          <w:b/>
          <w:bCs/>
          <w:color w:val="1F2937"/>
          <w:sz w:val="22"/>
          <w:szCs w:val="22"/>
        </w:rPr>
        <w:t xml:space="preserve">Uitvoering opdracht 1.2. </w:t>
      </w:r>
      <w:r>
        <w:rPr>
          <w:color w:val="1F2937"/>
          <w:sz w:val="22"/>
          <w:szCs w:val="22"/>
        </w:rPr>
        <w:t xml:space="preserve">Individueel 12 minuten, dan plenair 13 minuten. Bespreek niet alle twaalf; dat past niet en is saai. Kies er vijf: 1, 6, 8, 10 en 12. Die vijf dekken samen alle leerpunten:</w:t>
      </w:r>
    </w:p>
    <w:p>
      <w:pPr>
        <w:pStyle w:val="ListParagraph"/>
        <w:numPr>
          <w:ilvl w:val="0"/>
          <w:numId w:val="3"/>
        </w:numPr>
        <w:spacing w:after="100"/>
      </w:pPr>
      <w:r>
        <w:rPr>
          <w:b/>
          <w:bCs/>
          <w:color w:val="1F2937"/>
          <w:sz w:val="22"/>
          <w:szCs w:val="22"/>
        </w:rPr>
        <w:t xml:space="preserve">1</w:t>
      </w:r>
      <w:r>
        <w:rPr>
          <w:color w:val="1F2937"/>
          <w:sz w:val="22"/>
          <w:szCs w:val="22"/>
        </w:rPr>
        <w:t xml:space="preserve"> is het schoolvoorbeeld (vier keer ja).</w:t>
      </w:r>
    </w:p>
    <w:p>
      <w:pPr>
        <w:pStyle w:val="ListParagraph"/>
        <w:numPr>
          <w:ilvl w:val="0"/>
          <w:numId w:val="3"/>
        </w:numPr>
        <w:spacing w:after="100"/>
      </w:pPr>
      <w:r>
        <w:rPr>
          <w:b/>
          <w:bCs/>
          <w:color w:val="1F2937"/>
          <w:sz w:val="22"/>
          <w:szCs w:val="22"/>
        </w:rPr>
        <w:t xml:space="preserve">6</w:t>
      </w:r>
      <w:r>
        <w:rPr>
          <w:color w:val="1F2937"/>
          <w:sz w:val="22"/>
          <w:szCs w:val="22"/>
        </w:rPr>
        <w:t xml:space="preserve"> (eindtoestand versus gebeurtenissen) verrast de groep meestal en is het beste bruggetje naar de audittrail-eis. Bij groepen met event-sourcing-ervaring ontstaat hier een goede discussie; laat die maximaal vijf minuten lopen en verwijs naar deel 5.</w:t>
      </w:r>
    </w:p>
    <w:p>
      <w:pPr>
        <w:pStyle w:val="ListParagraph"/>
        <w:numPr>
          <w:ilvl w:val="0"/>
          <w:numId w:val="3"/>
        </w:numPr>
        <w:spacing w:after="100"/>
      </w:pPr>
      <w:r>
        <w:rPr>
          <w:b/>
          <w:bCs/>
          <w:color w:val="1F2937"/>
          <w:sz w:val="22"/>
          <w:szCs w:val="22"/>
        </w:rPr>
        <w:t xml:space="preserve">8</w:t>
      </w:r>
      <w:r>
        <w:rPr>
          <w:color w:val="1F2937"/>
          <w:sz w:val="22"/>
          <w:szCs w:val="22"/>
        </w:rPr>
        <w:t xml:space="preserve"> (Java 17) is didactisch het belangrijkst: significant, maar onomstreden. Het laat zien dat “significant” niet hetzelfde is als “moeilijk” of “controversieel” — en dat juist onomstreden beslissingen zelden worden vastgelegd, waardoor de motivering verdwijnt. Deze nuance halen groepen zelden zelf.</w:t>
      </w:r>
    </w:p>
    <w:p>
      <w:pPr>
        <w:pStyle w:val="ListParagraph"/>
        <w:numPr>
          <w:ilvl w:val="0"/>
          <w:numId w:val="3"/>
        </w:numPr>
        <w:spacing w:after="100"/>
      </w:pPr>
      <w:r>
        <w:rPr>
          <w:b/>
          <w:bCs/>
          <w:color w:val="1F2937"/>
          <w:sz w:val="22"/>
          <w:szCs w:val="22"/>
        </w:rPr>
        <w:t xml:space="preserve">10</w:t>
      </w:r>
      <w:r>
        <w:rPr>
          <w:color w:val="1F2937"/>
          <w:sz w:val="22"/>
          <w:szCs w:val="22"/>
        </w:rPr>
        <w:t xml:space="preserve"> (knoppositie) is de controle aan de andere kant: nul keer ja. Nodig, anders scoort de groep alles als significant.</w:t>
      </w:r>
    </w:p>
    <w:p>
      <w:pPr>
        <w:pStyle w:val="ListParagraph"/>
        <w:numPr>
          <w:ilvl w:val="0"/>
          <w:numId w:val="3"/>
        </w:numPr>
        <w:spacing w:after="100"/>
      </w:pPr>
      <w:r>
        <w:rPr>
          <w:b/>
          <w:bCs/>
          <w:color w:val="1F2937"/>
          <w:sz w:val="22"/>
          <w:szCs w:val="22"/>
        </w:rPr>
        <w:t xml:space="preserve">12</w:t>
      </w:r>
      <w:r>
        <w:rPr>
          <w:color w:val="1F2937"/>
          <w:sz w:val="22"/>
          <w:szCs w:val="22"/>
        </w:rPr>
        <w:t xml:space="preserve"> (tweewekelijkse deploy van het geheel) is de opmaat naar B4 en naar deel 5. Stel de vraag: “als alles tegelijk gedeployd wordt, wat is dan nog de baat van elf losse services?” Laat het antwoord vallen, ga niet uitleggen.</w:t>
      </w:r>
    </w:p>
    <w:p>
      <w:pPr>
        <w:spacing w:after="160" w:line="276"/>
      </w:pPr>
      <w:r>
        <w:rPr>
          <w:b/>
          <w:bCs/>
          <w:color w:val="1F2937"/>
          <w:sz w:val="22"/>
          <w:szCs w:val="22"/>
        </w:rPr>
        <w:t xml:space="preserve">Veelgemaakte fout in de groep: </w:t>
      </w:r>
      <w:r>
        <w:rPr>
          <w:color w:val="1F2937"/>
          <w:sz w:val="22"/>
          <w:szCs w:val="22"/>
        </w:rPr>
        <w:t xml:space="preserve">alles als significant scoren. Als u dat ziet, grijp terug op vraag 1 en 2 en herhaal dat het criterium bedoeld is om aandacht te richten: een architect die alles wil beslissen wordt een flessenhals.</w:t>
      </w:r>
    </w:p>
    <w:p>
      <w:pPr>
        <w:spacing w:after="160" w:line="276"/>
      </w:pPr>
      <w:r>
        <w:rPr>
          <w:b/>
          <w:bCs/>
          <w:color w:val="1F2937"/>
          <w:sz w:val="22"/>
          <w:szCs w:val="22"/>
        </w:rPr>
        <w:t xml:space="preserve">Tweede veelgemaakte fout: </w:t>
      </w:r>
      <w:r>
        <w:rPr>
          <w:color w:val="1F2937"/>
          <w:sz w:val="22"/>
          <w:szCs w:val="22"/>
        </w:rPr>
        <w:t xml:space="preserve">beslissing 3 (de uitzondering op het buspatroon) wordt vaak als niet-significant gescoord omdat “het maar twee services betreft”. Stuur hierop: het gaat niet om de twee services maar om het precedent — één uitzondering op een patroon geeft alle anderen de vraag “mag ik dan ook?”. Dit is een terugkerend thema in de hele cursus.</w:t>
      </w:r>
    </w:p>
    <w:p>
      <w:pPr>
        <w:pStyle w:val="Heading2"/>
        <w:spacing w:after="140" w:before="260"/>
      </w:pPr>
      <w:r>
        <w:rPr>
          <w:b/>
          <w:bCs/>
          <w:color w:val="4A6789"/>
          <w:sz w:val="24"/>
          <w:szCs w:val="24"/>
        </w:rPr>
        <w:t xml:space="preserve">3.7 De rol van de architect (slides 21–25)</w:t>
      </w:r>
    </w:p>
    <w:p>
      <w:pPr>
        <w:spacing w:after="160" w:line="276"/>
      </w:pPr>
      <w:r>
        <w:rPr>
          <w:color w:val="1F2937"/>
          <w:sz w:val="22"/>
          <w:szCs w:val="22"/>
        </w:rPr>
        <w:t xml:space="preserve">Tempo mag hier hoger. De tabel op slide 25 is herkenning, geen stof.</w:t>
      </w:r>
    </w:p>
    <w:p>
      <w:pPr>
        <w:spacing w:after="160" w:line="276"/>
      </w:pPr>
      <w:r>
        <w:rPr>
          <w:b/>
          <w:bCs/>
          <w:color w:val="1F2937"/>
          <w:sz w:val="22"/>
          <w:szCs w:val="22"/>
        </w:rPr>
        <w:t xml:space="preserve">Slide 24 </w:t>
      </w:r>
      <w:r>
        <w:rPr>
          <w:color w:val="1F2937"/>
          <w:sz w:val="22"/>
          <w:szCs w:val="22"/>
        </w:rPr>
        <w:t xml:space="preserve">(tijd in code mag variëren, vermogen om gevolgen te volgen niet) is de zin die in evaluaties het vaakst wordt geciteerd. Zeg hem langzaam.</w:t>
      </w:r>
    </w:p>
    <w:p>
      <w:pPr>
        <w:pStyle w:val="Heading2"/>
        <w:spacing w:after="140" w:before="260"/>
      </w:pPr>
      <w:r>
        <w:rPr>
          <w:b/>
          <w:bCs/>
          <w:color w:val="4A6789"/>
          <w:sz w:val="24"/>
          <w:szCs w:val="24"/>
        </w:rPr>
        <w:t xml:space="preserve">3.8 Opdracht 1.4 — het rollenspel (25 minuten)</w:t>
      </w:r>
    </w:p>
    <w:p>
      <w:pPr>
        <w:spacing w:after="160" w:line="276"/>
      </w:pPr>
      <w:r>
        <w:rPr>
          <w:b/>
          <w:bCs/>
          <w:color w:val="1F2937"/>
          <w:sz w:val="22"/>
          <w:szCs w:val="22"/>
        </w:rPr>
        <w:t xml:space="preserve">Voorbereiding. </w:t>
      </w:r>
      <w:r>
        <w:rPr>
          <w:color w:val="1F2937"/>
          <w:sz w:val="22"/>
          <w:szCs w:val="22"/>
        </w:rPr>
        <w:t xml:space="preserve">Rolkaarten uitgeprint meenemen (bijlage bij deze handleiding). Groepen van vier: A, B, C en één observator. Bij een oneven aantal: twee observatoren, geen twee spelers op één rol.</w:t>
      </w:r>
    </w:p>
    <w:p>
      <w:pPr>
        <w:spacing w:after="160" w:line="276"/>
      </w:pPr>
      <w:r>
        <w:rPr>
          <w:b/>
          <w:bCs/>
          <w:color w:val="1F2937"/>
          <w:sz w:val="22"/>
          <w:szCs w:val="22"/>
        </w:rPr>
        <w:t xml:space="preserve">Uitvoering. </w:t>
      </w:r>
      <w:r>
        <w:rPr>
          <w:color w:val="1F2937"/>
          <w:sz w:val="22"/>
          <w:szCs w:val="22"/>
        </w:rPr>
        <w:t xml:space="preserve">5 minuten voorbereiding individueel, 5 minuten pleiten (ruwweg anderhalve minuut per rol), 10 minuten discussie en besluit, 5 minuten nabespreking plenair.</w:t>
      </w:r>
    </w:p>
    <w:p>
      <w:pPr>
        <w:spacing w:after="160" w:line="276"/>
      </w:pPr>
      <w:r>
        <w:rPr>
          <w:b/>
          <w:bCs/>
          <w:color w:val="1F2937"/>
          <w:sz w:val="22"/>
          <w:szCs w:val="22"/>
        </w:rPr>
        <w:t xml:space="preserve">Sturing. </w:t>
      </w:r>
      <w:r>
        <w:rPr>
          <w:color w:val="1F2937"/>
          <w:sz w:val="22"/>
          <w:szCs w:val="22"/>
        </w:rPr>
        <w:t xml:space="preserve">Loop rond en luister of de groep de vals gestelde keuze maakt (“wel of geen architect”). Zo ja, gooi er één vraag in: “alle drie de posities beleggen de vijf kerntaken — waar verschilt het mandaat?”</w:t>
      </w:r>
    </w:p>
    <w:p>
      <w:pPr>
        <w:spacing w:after="160" w:line="276"/>
      </w:pPr>
      <w:r>
        <w:rPr>
          <w:b/>
          <w:bCs/>
          <w:color w:val="1F2937"/>
          <w:sz w:val="22"/>
          <w:szCs w:val="22"/>
        </w:rPr>
        <w:t xml:space="preserve">Nabespreking. </w:t>
      </w:r>
      <w:r>
        <w:rPr>
          <w:color w:val="1F2937"/>
          <w:sz w:val="22"/>
          <w:szCs w:val="22"/>
        </w:rPr>
        <w:t xml:space="preserve">Begin altijd bij de observatoren, niet bij de uitkomst. De vraag is: welke kerntaken bleven onbesproken? In vrijwel elke groep zijn dat realisatie begeleiden en kwaliteit toetsen. Dat is dezelfde blinde vlek als in Mutatie 1.0, en het is een van de sterkste momenten van het dagdeel. Zeg dat expliciet.</w:t>
      </w:r>
    </w:p>
    <w:p>
      <w:pPr>
        <w:spacing w:after="160" w:line="276"/>
      </w:pPr>
      <w:r>
        <w:rPr>
          <w:b/>
          <w:bCs/>
          <w:color w:val="1F2937"/>
          <w:sz w:val="22"/>
          <w:szCs w:val="22"/>
        </w:rPr>
        <w:t xml:space="preserve">Als de discussie ontspoort naar de eigen organisatie </w:t>
      </w:r>
      <w:r>
        <w:rPr>
          <w:color w:val="1F2937"/>
          <w:sz w:val="22"/>
          <w:szCs w:val="22"/>
        </w:rPr>
        <w:t xml:space="preserve">— wat vaak gebeurt, en heftig kan worden bij deelnemers die net een reorganisatie achter de rug hebben — laat het maximaal drie minuten lopen en breng het terug: “houd dat vast voor deel 9 en voor niveau 2; vandaag beslissen we voor Meridiaan.”</w:t>
      </w:r>
    </w:p>
    <w:p>
      <w:pPr>
        <w:pStyle w:val="Heading2"/>
        <w:spacing w:after="140" w:before="260"/>
      </w:pPr>
      <w:r>
        <w:rPr>
          <w:b/>
          <w:bCs/>
          <w:color w:val="4A6789"/>
          <w:sz w:val="24"/>
          <w:szCs w:val="24"/>
        </w:rPr>
        <w:t xml:space="preserve">3.9 Impliciete architectuur en de bevindingen (slides 27–32)</w:t>
      </w:r>
    </w:p>
    <w:p>
      <w:pPr>
        <w:spacing w:after="160" w:line="276"/>
      </w:pPr>
      <w:r>
        <w:rPr>
          <w:b/>
          <w:bCs/>
          <w:color w:val="1F2937"/>
          <w:sz w:val="22"/>
          <w:szCs w:val="22"/>
        </w:rPr>
        <w:t xml:space="preserve">Slide 28 </w:t>
      </w:r>
      <w:r>
        <w:rPr>
          <w:color w:val="1F2937"/>
          <w:sz w:val="22"/>
          <w:szCs w:val="22"/>
        </w:rPr>
        <w:t xml:space="preserve">(“elk systeem heeft een architectuur; de vraag is of iemand hem gekozen heeft”) is de kernboodschap van het hele deel. Als de groep één zin onthoudt, moet het deze zijn.</w:t>
      </w:r>
    </w:p>
    <w:p>
      <w:pPr>
        <w:spacing w:after="160" w:line="276"/>
      </w:pPr>
      <w:r>
        <w:rPr>
          <w:b/>
          <w:bCs/>
          <w:color w:val="1F2937"/>
          <w:sz w:val="22"/>
          <w:szCs w:val="22"/>
        </w:rPr>
        <w:t xml:space="preserve">De zeven bevindingen (slide 31). </w:t>
      </w:r>
      <w:r>
        <w:rPr>
          <w:color w:val="1F2937"/>
          <w:sz w:val="22"/>
          <w:szCs w:val="22"/>
        </w:rPr>
        <w:t xml:space="preserve">Loop ze langs in maximaal zes minuten, één zin per bevinding, en wijs bij elke bevinding aan in welk deel hij wordt gesloten. De diepgang komt vanzelf in de volgende delen; het doel vandaag is herkenbaarheid en het besef dat er een plan achter zit.</w:t>
      </w:r>
    </w:p>
    <w:p>
      <w:pPr>
        <w:spacing w:after="160" w:line="276"/>
      </w:pPr>
      <w:r>
        <w:rPr>
          <w:b/>
          <w:bCs/>
          <w:color w:val="1F2937"/>
          <w:sz w:val="22"/>
          <w:szCs w:val="22"/>
        </w:rPr>
        <w:t xml:space="preserve">Vraag die komt: </w:t>
      </w:r>
      <w:r>
        <w:rPr>
          <w:color w:val="1F2937"/>
          <w:sz w:val="22"/>
          <w:szCs w:val="22"/>
        </w:rPr>
        <w:t xml:space="preserve">“worden ze echt allemaal gesloten?” Ja — en in deel 10 moet elke deelnemer dat in zijn eigen schets kunnen aantonen. Zeg dat er nu bij; het verhoogt de opbrengst van opdracht 1.6 aanzienlijk.</w:t>
      </w:r>
    </w:p>
    <w:p>
      <w:pPr>
        <w:pStyle w:val="Heading2"/>
        <w:spacing w:after="140" w:before="260"/>
      </w:pPr>
      <w:r>
        <w:rPr>
          <w:b/>
          <w:bCs/>
          <w:color w:val="4A6789"/>
          <w:sz w:val="24"/>
          <w:szCs w:val="24"/>
        </w:rPr>
        <w:t xml:space="preserve">3.10 Afsluiting</w:t>
      </w:r>
    </w:p>
    <w:p>
      <w:pPr>
        <w:spacing w:after="160" w:line="276"/>
      </w:pPr>
      <w:r>
        <w:rPr>
          <w:color w:val="1F2937"/>
          <w:sz w:val="22"/>
          <w:szCs w:val="22"/>
        </w:rPr>
        <w:t xml:space="preserve">Besteed echt de laatste vijf minuten aan het huiswerk. Opdracht 1.5 en 1.6 worden overgeslagen als u ze afraffelt, en beide zijn dragend: 1.5 levert het materiaal voor deel 2, en 1.6 is de eerste bouwsteen van het capstonedossier.</w:t>
      </w:r>
    </w:p>
    <w:p>
      <w:pPr>
        <w:spacing w:after="160" w:line="276"/>
      </w:pPr>
      <w:r>
        <w:rPr>
          <w:b/>
          <w:bCs/>
          <w:color w:val="1F2937"/>
          <w:sz w:val="22"/>
          <w:szCs w:val="22"/>
        </w:rPr>
        <w:t xml:space="preserve">Zeg letterlijk: </w:t>
      </w:r>
      <w:r>
        <w:rPr>
          <w:color w:val="1F2937"/>
          <w:sz w:val="22"/>
          <w:szCs w:val="22"/>
        </w:rPr>
        <w:t xml:space="preserve">bewaar uw positioneringsverklaring woordelijk; in deel 10 leest u hem terug. Deelnemers die hem herschrijven onderweg, verliezen de leerwinst.</w:t>
      </w:r>
    </w:p>
    <w:p>
      <w:pPr>
        <w:pStyle w:val="Heading1"/>
        <w:pBdr>
          <w:bottom w:val="single" w:color="E5E7EB" w:sz="6" w:space="6"/>
        </w:pBdr>
        <w:spacing w:after="180" w:before="380"/>
      </w:pPr>
      <w:r>
        <w:rPr>
          <w:b/>
          <w:bCs/>
          <w:color w:val="1F3A5F"/>
          <w:sz w:val="30"/>
          <w:szCs w:val="30"/>
        </w:rPr>
        <w:t xml:space="preserve">4. Omgaan met bijzondere situaties</w:t>
      </w:r>
    </w:p>
    <w:p>
      <w:pPr>
        <w:spacing w:after="160" w:line="276"/>
      </w:pPr>
      <w:r>
        <w:rPr>
          <w:b/>
          <w:bCs/>
          <w:color w:val="1F2937"/>
          <w:sz w:val="22"/>
          <w:szCs w:val="22"/>
        </w:rPr>
        <w:t xml:space="preserve">Een deelnemer werkt zelf bij een pensioenuitvoerder en herkent de casus. </w:t>
      </w:r>
      <w:r>
        <w:rPr>
          <w:color w:val="1F2937"/>
          <w:sz w:val="22"/>
          <w:szCs w:val="22"/>
        </w:rPr>
        <w:t xml:space="preserve">Komt regelmatig voor in de Benelux-markt. Benadruk dat Meridiaan fictief is en samengesteld uit meerdere praktijksituaties. Nodig de deelnemer uit om verschillen te benoemen, maar bewaak dat de klas niet in één specifieke werkelijkheid wordt getrokken.</w:t>
      </w:r>
    </w:p>
    <w:p>
      <w:pPr>
        <w:spacing w:after="160" w:line="276"/>
      </w:pPr>
      <w:r>
        <w:rPr>
          <w:b/>
          <w:bCs/>
          <w:color w:val="1F2937"/>
          <w:sz w:val="22"/>
          <w:szCs w:val="22"/>
        </w:rPr>
        <w:t xml:space="preserve">Een deelnemer is het inhoudelijk oneens met een bevinding, </w:t>
      </w:r>
      <w:r>
        <w:rPr>
          <w:color w:val="1F2937"/>
          <w:sz w:val="22"/>
          <w:szCs w:val="22"/>
        </w:rPr>
        <w:t xml:space="preserve">meestal B4 (microservices). Dit is welkom en u moet er ruimte voor maken, maar met een kader: de bevinding stelt niet dat microservices verkeerd zijn, maar dat de kosten worden gedragen zonder dat de baten worden geïncasseerd — twee teams, één deploymoment, geen afwijkende schaalbehoefte. Wie het daarmee oneens is, moet aanwijzen welke baat wél wordt geïncasseerd. Meestal eindigt dat gesprek in overeenstemming. Zo niet: parkeren naar deel 5, waar het thuishoort.</w:t>
      </w:r>
    </w:p>
    <w:p>
      <w:pPr>
        <w:spacing w:after="160" w:line="276"/>
      </w:pPr>
      <w:r>
        <w:rPr>
          <w:b/>
          <w:bCs/>
          <w:color w:val="1F2937"/>
          <w:sz w:val="22"/>
          <w:szCs w:val="22"/>
        </w:rPr>
        <w:t xml:space="preserve">De groep is stil. </w:t>
      </w:r>
      <w:r>
        <w:rPr>
          <w:color w:val="1F2937"/>
          <w:sz w:val="22"/>
          <w:szCs w:val="22"/>
        </w:rPr>
        <w:t xml:space="preserve">Bij technische groepen komt dit voor in het eerste uur. Gebruik opdracht 1.1 vroeger (direct na slide 12 in plaats van na 15) en laat duo's terugkoppelen in plaats van individuen.</w:t>
      </w:r>
    </w:p>
    <w:p>
      <w:pPr>
        <w:spacing w:after="160" w:line="276"/>
      </w:pPr>
      <w:r>
        <w:rPr>
          <w:b/>
          <w:bCs/>
          <w:color w:val="1F2937"/>
          <w:sz w:val="22"/>
          <w:szCs w:val="22"/>
        </w:rPr>
        <w:t xml:space="preserve">De groep is heel ervaren </w:t>
      </w:r>
      <w:r>
        <w:rPr>
          <w:color w:val="1F2937"/>
          <w:sz w:val="22"/>
          <w:szCs w:val="22"/>
        </w:rPr>
        <w:t xml:space="preserve">(meerdere architecten met 10+ jaar). Kort de definities in tot 15 minuten, doe opdracht 1.3 erbij, en verzwaar opdracht 1.2 door te vragen naar de tweede orde: welke beslissingen zijn significant geworden dóór een eerdere beslissing? (Voorbeeld: 7 en 11 zijn pas echt duur geworden door 12 elf services.)</w:t>
      </w:r>
    </w:p>
    <w:p>
      <w:pPr>
        <w:pStyle w:val="Heading1"/>
        <w:pBdr>
          <w:bottom w:val="single" w:color="E5E7EB" w:sz="6" w:space="6"/>
        </w:pBdr>
        <w:spacing w:after="180" w:before="380"/>
      </w:pPr>
      <w:r>
        <w:rPr>
          <w:b/>
          <w:bCs/>
          <w:color w:val="1F3A5F"/>
          <w:sz w:val="30"/>
          <w:szCs w:val="30"/>
        </w:rPr>
        <w:t xml:space="preserve">5. Toetsing en signalen</w:t>
      </w:r>
    </w:p>
    <w:p>
      <w:pPr>
        <w:spacing w:after="160" w:line="276"/>
      </w:pPr>
      <w:r>
        <w:rPr>
          <w:color w:val="1F2937"/>
          <w:sz w:val="22"/>
          <w:szCs w:val="22"/>
        </w:rPr>
        <w:t xml:space="preserve">Dit deel wordt niet formeel getoetst. Let op drie signalen die u in deel 2 en 3 wilt kunnen gebruiken:</w:t>
      </w:r>
    </w:p>
    <w:p>
      <w:pPr>
        <w:pStyle w:val="ListParagraph"/>
        <w:numPr>
          <w:ilvl w:val="0"/>
          <w:numId w:val="4"/>
        </w:numPr>
        <w:spacing w:after="120"/>
      </w:pPr>
      <w:r>
        <w:rPr>
          <w:b/>
          <w:bCs/>
          <w:color w:val="1F2937"/>
          <w:sz w:val="22"/>
          <w:szCs w:val="22"/>
        </w:rPr>
        <w:t xml:space="preserve">Wie scoort in opdracht 1.2 alles als significant?</w:t>
      </w:r>
      <w:r>
        <w:rPr>
          <w:color w:val="1F2937"/>
          <w:sz w:val="22"/>
          <w:szCs w:val="22"/>
        </w:rPr>
        <w:t xml:space="preserve"> Die deelnemer heeft moeite met afbakenen en zal in deel 3 en 4 waarschijnlijk overontwerpen.</w:t>
      </w:r>
    </w:p>
    <w:p>
      <w:pPr>
        <w:pStyle w:val="ListParagraph"/>
        <w:numPr>
          <w:ilvl w:val="0"/>
          <w:numId w:val="4"/>
        </w:numPr>
        <w:spacing w:after="120"/>
      </w:pPr>
      <w:r>
        <w:rPr>
          <w:b/>
          <w:bCs/>
          <w:color w:val="1F2937"/>
          <w:sz w:val="22"/>
          <w:szCs w:val="22"/>
        </w:rPr>
        <w:t xml:space="preserve">Wie kan in opdracht 1.1 geen enkele beslissing benoemen?</w:t>
      </w:r>
      <w:r>
        <w:rPr>
          <w:color w:val="1F2937"/>
          <w:sz w:val="22"/>
          <w:szCs w:val="22"/>
        </w:rPr>
        <w:t xml:space="preserve"> Werkt vermoedelijk in een omgeving zonder vastlegging; extra aandacht waard bij deel 7.</w:t>
      </w:r>
    </w:p>
    <w:p>
      <w:pPr>
        <w:pStyle w:val="ListParagraph"/>
        <w:numPr>
          <w:ilvl w:val="0"/>
          <w:numId w:val="4"/>
        </w:numPr>
        <w:spacing w:after="120"/>
      </w:pPr>
      <w:r>
        <w:rPr>
          <w:b/>
          <w:bCs/>
          <w:color w:val="1F2937"/>
          <w:sz w:val="22"/>
          <w:szCs w:val="22"/>
        </w:rPr>
        <w:t xml:space="preserve">Wie schrijft in opdracht 1.6 een positioneringsverklaring die alleen over technologie gaat?</w:t>
      </w:r>
      <w:r>
        <w:rPr>
          <w:color w:val="1F2937"/>
          <w:sz w:val="22"/>
          <w:szCs w:val="22"/>
        </w:rPr>
        <w:t xml:space="preserve"> Volstrekt normaal op dag 1 — maar noteer het, want de vergelijking in deel 10 is voor deze deelnemers het krachtigst.</w:t>
      </w:r>
    </w:p>
    <w:p>
      <w:pPr>
        <w:pStyle w:val="Heading1"/>
        <w:pBdr>
          <w:bottom w:val="single" w:color="E5E7EB" w:sz="6" w:space="6"/>
        </w:pBdr>
        <w:spacing w:after="180" w:before="380"/>
      </w:pPr>
      <w:r>
        <w:rPr>
          <w:b/>
          <w:bCs/>
          <w:color w:val="1F3A5F"/>
          <w:sz w:val="30"/>
          <w:szCs w:val="30"/>
        </w:rPr>
        <w:t xml:space="preserve">6. Benodigdheden</w:t>
      </w:r>
    </w:p>
    <w:p>
      <w:pPr>
        <w:pStyle w:val="ListParagraph"/>
        <w:numPr>
          <w:ilvl w:val="0"/>
          <w:numId w:val="3"/>
        </w:numPr>
        <w:spacing w:after="100"/>
      </w:pPr>
      <w:r>
        <w:rPr>
          <w:color w:val="1F2937"/>
          <w:sz w:val="22"/>
          <w:szCs w:val="22"/>
        </w:rPr>
        <w:t xml:space="preserve">Slidedeck deel 1</w:t>
      </w:r>
    </w:p>
    <w:p>
      <w:pPr>
        <w:pStyle w:val="ListParagraph"/>
        <w:numPr>
          <w:ilvl w:val="0"/>
          <w:numId w:val="3"/>
        </w:numPr>
        <w:spacing w:after="100"/>
      </w:pPr>
      <w:r>
        <w:rPr>
          <w:color w:val="1F2937"/>
          <w:sz w:val="22"/>
          <w:szCs w:val="22"/>
        </w:rPr>
        <w:t xml:space="preserve">Reader en werkboek, per deelnemer</w:t>
      </w:r>
    </w:p>
    <w:p>
      <w:pPr>
        <w:pStyle w:val="ListParagraph"/>
        <w:numPr>
          <w:ilvl w:val="0"/>
          <w:numId w:val="3"/>
        </w:numPr>
        <w:spacing w:after="100"/>
      </w:pPr>
      <w:r>
        <w:rPr>
          <w:color w:val="1F2937"/>
          <w:sz w:val="22"/>
          <w:szCs w:val="22"/>
        </w:rPr>
        <w:t xml:space="preserve">Bijlage A: post-mortemrapport Mutatie 1.0 (uittreksel, 4 pagina's)</w:t>
      </w:r>
    </w:p>
    <w:p>
      <w:pPr>
        <w:pStyle w:val="ListParagraph"/>
        <w:numPr>
          <w:ilvl w:val="0"/>
          <w:numId w:val="3"/>
        </w:numPr>
        <w:spacing w:after="100"/>
      </w:pPr>
      <w:r>
        <w:rPr>
          <w:b/>
          <w:bCs/>
          <w:color w:val="1F2937"/>
          <w:sz w:val="22"/>
          <w:szCs w:val="22"/>
        </w:rPr>
        <w:t xml:space="preserve">Bijlage B: fragment aanbestedingsdocument</w:t>
      </w:r>
      <w:r>
        <w:rPr>
          <w:color w:val="1F2937"/>
          <w:sz w:val="22"/>
          <w:szCs w:val="22"/>
        </w:rPr>
        <w:t xml:space="preserve"> (1 pagina, bevat de zinsnede “architectuur is de verantwoordelijkheid van de leverancier” — laat deelnemers dit zelf vinden bij de leveranciersdiscussie; dat werkt beter dan het voorzeggen)</w:t>
      </w:r>
    </w:p>
    <w:p>
      <w:pPr>
        <w:pStyle w:val="ListParagraph"/>
        <w:numPr>
          <w:ilvl w:val="0"/>
          <w:numId w:val="3"/>
        </w:numPr>
        <w:spacing w:after="100"/>
      </w:pPr>
      <w:r>
        <w:rPr>
          <w:color w:val="1F2937"/>
          <w:sz w:val="22"/>
          <w:szCs w:val="22"/>
        </w:rPr>
        <w:t xml:space="preserve">Bijlage C: sprintbord-uittreksel sprint 4, met taak 118 “lokale cache voor performance”</w:t>
      </w:r>
    </w:p>
    <w:p>
      <w:pPr>
        <w:pStyle w:val="ListParagraph"/>
        <w:numPr>
          <w:ilvl w:val="0"/>
          <w:numId w:val="3"/>
        </w:numPr>
        <w:spacing w:after="100"/>
      </w:pPr>
      <w:r>
        <w:rPr>
          <w:color w:val="1F2937"/>
          <w:sz w:val="22"/>
          <w:szCs w:val="22"/>
        </w:rPr>
        <w:t xml:space="preserve">Rolkaarten opdracht 1.4 (A, B, C, observator)</w:t>
      </w:r>
    </w:p>
    <w:p>
      <w:pPr>
        <w:pStyle w:val="ListParagraph"/>
        <w:numPr>
          <w:ilvl w:val="0"/>
          <w:numId w:val="3"/>
        </w:numPr>
        <w:spacing w:after="100"/>
      </w:pPr>
      <w:r>
        <w:rPr>
          <w:color w:val="1F2937"/>
          <w:sz w:val="22"/>
          <w:szCs w:val="22"/>
        </w:rPr>
        <w:t xml:space="preserve">Flip-over of digitaal bord voor de parkeerlijst — bewaar deze tot deel 10</w:t>
      </w:r>
    </w:p>
    <w:p>
      <w:pPr>
        <w:pStyle w:val="Heading1"/>
        <w:pBdr>
          <w:bottom w:val="single" w:color="E5E7EB" w:sz="6" w:space="6"/>
        </w:pBdr>
        <w:spacing w:after="180" w:before="380"/>
      </w:pPr>
      <w:r>
        <w:rPr>
          <w:b/>
          <w:bCs/>
          <w:color w:val="1F3A5F"/>
          <w:sz w:val="30"/>
          <w:szCs w:val="30"/>
        </w:rPr>
        <w:t xml:space="preserve">7. Aansluiting op het volgende deel</w:t>
      </w:r>
    </w:p>
    <w:p>
      <w:pPr>
        <w:spacing w:after="160" w:line="276"/>
      </w:pPr>
      <w:r>
        <w:rPr>
          <w:color w:val="1F2937"/>
          <w:sz w:val="22"/>
          <w:szCs w:val="22"/>
        </w:rPr>
        <w:t xml:space="preserve">Deel 2 opent met de terugkoppeling op opdracht 1.5 (10 minuten) en gaat daarna naar kwaliteitsattributen en kwaliteitsscenario's. De brug die u aan het eind van dit dagdeel legt:</w:t>
      </w:r>
    </w:p>
    <w:p>
      <w:pPr>
        <w:spacing w:after="160" w:line="276"/>
      </w:pPr>
      <w:r>
        <w:rPr>
          <w:i/>
          <w:iCs/>
          <w:color w:val="1F2937"/>
          <w:sz w:val="22"/>
          <w:szCs w:val="22"/>
        </w:rPr>
        <w:t xml:space="preserve">we hebben vastgesteld dat architectuur kwaliteitseisen realiseert — maar in Mutatie 1.0 was er geen enkele kwaliteitseis die je kon meten. Dat is bevinding B2, en dat is volgende keer.</w:t>
      </w:r>
    </w:p>
    <w:p>
      <w:pPr>
        <w:pBdr>
          <w:top w:val="single" w:color="E5E7EB" w:sz="4" w:space="8"/>
        </w:pBdr>
        <w:spacing w:before="400"/>
        <w:jc w:val="center"/>
      </w:pPr>
      <w:r>
        <w:rPr>
          <w:i/>
          <w:iCs/>
          <w:color w:val="6B7280"/>
          <w:sz w:val="17"/>
          <w:szCs w:val="17"/>
        </w:rPr>
        <w:t xml:space="preserve">Ductus B.V. · Cursus Softwarearchitectuur · Niveau 1, deel 1 · Docentenhandleiding</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5"/>
        <w:szCs w:val="15"/>
      </w:rPr>
      <w:t xml:space="preserve">Ductus B.V.  ·  pagina </w:t>
    </w:r>
    <w:r>
      <w:rPr>
        <w:color w:val="6B7280"/>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B7280"/>
        <w:sz w:val="15"/>
        <w:szCs w:val="15"/>
      </w:rPr>
      <w:t xml:space="preserve">Cursus Softwarearchitectuur · Niveau 1, deel 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abstractNum w:abstractNumId="3" w15:restartNumberingAfterBreak="0">
    <w:multiLevelType w:val="hybridMultilevel"/>
    <w:lvl w:ilvl="0" w15:tentative="1">
      <w:start w:val="1"/>
      <w:numFmt w:val="decimal"/>
      <w:lvlText w:val="%1."/>
      <w:lvlJc w:val="left"/>
      <w:pPr>
        <w:ind w:left="420" w:hanging="260"/>
      </w:pPr>
    </w:lvl>
  </w:abstractNum>
  <w:abstractNum w:abstractNumId="4" w15:restartNumberingAfterBreak="0">
    <w:multiLevelType w:val="hybridMultilevel"/>
    <w:lvl w:ilvl="0" w15:tentative="1">
      <w:start w:val="1"/>
      <w:numFmt w:val="decimal"/>
      <w:lvlText w:val="%1."/>
      <w:lvlJc w:val="left"/>
      <w:pPr>
        <w:ind w:left="420" w:hanging="2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2026-08-17T20:57:53.070Z</dcterms:created>
  <dcterms:modified xsi:type="dcterms:W3CDTF">2026-08-17T20:57:53.071Z</dcterms:modified>
</cp:coreProperties>
</file>

<file path=docProps/custom.xml><?xml version="1.0" encoding="utf-8"?>
<Properties xmlns="http://schemas.openxmlformats.org/officeDocument/2006/custom-properties" xmlns:vt="http://schemas.openxmlformats.org/officeDocument/2006/docPropsVTypes"/>
</file>