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 — Wat is softwarearchitectuur?</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1 van 10</w:t>
      </w:r>
    </w:p>
    <w:p>
      <w:pPr>
        <w:pStyle w:val="Heading1"/>
        <w:pBdr>
          <w:bottom w:val="single" w:color="E5E7EB" w:sz="6" w:space="6"/>
        </w:pBdr>
        <w:spacing w:after="180" w:before="380"/>
      </w:pPr>
      <w:r>
        <w:rPr>
          <w:b/>
          <w:bCs/>
          <w:color w:val="1F3A5F"/>
          <w:sz w:val="30"/>
          <w:szCs w:val="30"/>
        </w:rPr>
        <w:t xml:space="preserve">Hoe u dit werkboek gebruikt</w:t>
      </w:r>
    </w:p>
    <w:p>
      <w:pPr>
        <w:spacing w:after="160" w:line="276"/>
      </w:pPr>
      <w:r>
        <w:rPr>
          <w:color w:val="1F2937"/>
          <w:sz w:val="22"/>
          <w:szCs w:val="22"/>
        </w:rPr>
        <w:t xml:space="preserve">De opdrachten volgen de opbouw van de reader. Opdracht 1.1 tot en met 1.4 doet u in het dagdeel, in wisselende groepsgroottes. Opdracht 1.5 is individueel huiswerk en levert materiaal op dat u in deel 2 opnieuw gebruikt. Opdracht 1.6 is de eerste bijdrage aan uw capstonedossier voor deel 10 — bewaar hem.</w:t>
      </w:r>
    </w:p>
    <w:p>
      <w:pPr>
        <w:spacing w:after="160" w:line="276"/>
      </w:pPr>
      <w:r>
        <w:rPr>
          <w:color w:val="1F2937"/>
          <w:sz w:val="22"/>
          <w:szCs w:val="22"/>
        </w:rPr>
        <w:t xml:space="preserve">De uitwerkingen staan achterin. Kijk ze pas in nadat u de opdracht hebt gemaakt; bij de meeste opdrachten is er geen enkel goed antwoord en is de uitwerking bedoeld als vergelijkingsmateriaal, niet als sleutel.</w:t>
      </w:r>
    </w:p>
    <w:p>
      <w:pPr>
        <w:spacing w:after="160" w:line="276"/>
      </w:pPr>
      <w:r>
        <w:rPr>
          <w:b/>
          <w:bCs/>
          <w:color w:val="1F2937"/>
          <w:sz w:val="22"/>
          <w:szCs w:val="22"/>
        </w:rPr>
        <w:t xml:space="preserve">Materiaal: </w:t>
      </w:r>
      <w:r>
        <w:rPr>
          <w:color w:val="1F2937"/>
          <w:sz w:val="22"/>
          <w:szCs w:val="22"/>
        </w:rPr>
        <w:t xml:space="preserve">post-mortemrapport Mutatie 1.0 (bijlage A), fragment aanbestedingsdocument (bijlage B), sprintbord-uittreksel sprint 4 (bijlage C).</w:t>
      </w:r>
    </w:p>
    <w:p>
      <w:pPr>
        <w:spacing w:after="300"/>
      </w:pPr>
    </w:p>
    <w:p>
      <w:pPr>
        <w:pStyle w:val="Heading1"/>
        <w:pBdr>
          <w:bottom w:val="single" w:color="E5E7EB" w:sz="6" w:space="6"/>
        </w:pBdr>
        <w:spacing w:after="180" w:before="380"/>
      </w:pPr>
      <w:r>
        <w:rPr>
          <w:b/>
          <w:bCs/>
          <w:color w:val="1F3A5F"/>
          <w:sz w:val="30"/>
          <w:szCs w:val="30"/>
        </w:rPr>
        <w:t xml:space="preserve">Opdracht 1.1 — Drie definities op één systeem (duo, 20 minuten)</w:t>
      </w:r>
    </w:p>
    <w:p>
      <w:pPr>
        <w:spacing w:after="160" w:line="276"/>
      </w:pPr>
      <w:r>
        <w:rPr>
          <w:color w:val="1F2937"/>
          <w:sz w:val="22"/>
          <w:szCs w:val="22"/>
        </w:rPr>
        <w:t xml:space="preserve">Neem een systeem dat u zelf kent uit uw werk. Beschrijf het in drie keer maximaal vijf zinnen:</w:t>
      </w:r>
    </w:p>
    <w:p>
      <w:pPr>
        <w:pStyle w:val="ListParagraph"/>
        <w:numPr>
          <w:ilvl w:val="0"/>
          <w:numId w:val="2"/>
        </w:numPr>
        <w:spacing w:after="100"/>
      </w:pPr>
      <w:r>
        <w:rPr>
          <w:b/>
          <w:bCs/>
          <w:color w:val="1F2937"/>
          <w:sz w:val="22"/>
          <w:szCs w:val="22"/>
        </w:rPr>
        <w:t xml:space="preserve">a)</w:t>
      </w:r>
      <w:r>
        <w:rPr>
          <w:color w:val="1F2937"/>
          <w:sz w:val="22"/>
          <w:szCs w:val="22"/>
        </w:rPr>
        <w:t xml:space="preserve"> vanuit het structuurperspectief: uit welke delen bestaat het, hoe hangen ze samen?</w:t>
      </w:r>
    </w:p>
    <w:p>
      <w:pPr>
        <w:pStyle w:val="ListParagraph"/>
        <w:numPr>
          <w:ilvl w:val="0"/>
          <w:numId w:val="2"/>
        </w:numPr>
        <w:spacing w:after="100"/>
      </w:pPr>
      <w:r>
        <w:rPr>
          <w:b/>
          <w:bCs/>
          <w:color w:val="1F2937"/>
          <w:sz w:val="22"/>
          <w:szCs w:val="22"/>
        </w:rPr>
        <w:t xml:space="preserve">b)</w:t>
      </w:r>
      <w:r>
        <w:rPr>
          <w:color w:val="1F2937"/>
          <w:sz w:val="22"/>
          <w:szCs w:val="22"/>
        </w:rPr>
        <w:t xml:space="preserve"> vanuit het beslissingsperspectief: noem drie beslissingen die het systeem hebben gevormd en die vandaag duur zouden zijn om terug te draaien;</w:t>
      </w:r>
    </w:p>
    <w:p>
      <w:pPr>
        <w:pStyle w:val="ListParagraph"/>
        <w:numPr>
          <w:ilvl w:val="0"/>
          <w:numId w:val="2"/>
        </w:numPr>
        <w:spacing w:after="100"/>
      </w:pPr>
      <w:r>
        <w:rPr>
          <w:b/>
          <w:bCs/>
          <w:color w:val="1F2937"/>
          <w:sz w:val="22"/>
          <w:szCs w:val="22"/>
        </w:rPr>
        <w:t xml:space="preserve">c)</w:t>
      </w:r>
      <w:r>
        <w:rPr>
          <w:color w:val="1F2937"/>
          <w:sz w:val="22"/>
          <w:szCs w:val="22"/>
        </w:rPr>
        <w:t xml:space="preserve"> vanuit het kwaliteitsperspectief: welke twee kwaliteitseigenschappen zijn voor dit systeem het belangrijkst, en hoe ziet u dat terug in de structuur?</w:t>
      </w:r>
    </w:p>
    <w:p>
      <w:pPr>
        <w:spacing w:after="160" w:line="276"/>
      </w:pPr>
      <w:r>
        <w:rPr>
          <w:b/>
          <w:bCs/>
          <w:color w:val="1F2937"/>
          <w:sz w:val="22"/>
          <w:szCs w:val="22"/>
        </w:rPr>
        <w:t xml:space="preserve">Wissel uit met uw duopartner. </w:t>
      </w:r>
      <w:r>
        <w:rPr>
          <w:color w:val="1F2937"/>
          <w:sz w:val="22"/>
          <w:szCs w:val="22"/>
        </w:rPr>
        <w:t xml:space="preserve">Beantwoord samen: bij welk van de drie perspectieven had u de meeste moeite, en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w:t>
            </w:r>
          </w:p>
          <w:p>
            <w:pPr>
              <w:spacing w:after="80"/>
            </w:pPr>
          </w:p>
          <w:p>
            <w:pPr>
              <w:spacing w:after="120" w:line="276"/>
            </w:pPr>
            <w:r>
              <w:rPr>
                <w:color w:val="1F2937"/>
                <w:sz w:val="21"/>
                <w:szCs w:val="21"/>
              </w:rPr>
              <w:t xml:space="preserve">Geen modelantwoord; dit is een activeringsopdracht. Vier observaties die in vrijwel elke groep terugkomen en die u kunt gebruiken om uw eigen antwoord te wegen:</w:t>
            </w:r>
          </w:p>
          <w:p>
            <w:pPr>
              <w:pStyle w:val="ListParagraph"/>
              <w:numPr>
                <w:ilvl w:val="0"/>
                <w:numId w:val="2"/>
              </w:numPr>
              <w:spacing w:after="100"/>
            </w:pPr>
            <w:r>
              <w:rPr>
                <w:b/>
                <w:bCs/>
                <w:color w:val="1F2937"/>
                <w:sz w:val="22"/>
                <w:szCs w:val="22"/>
              </w:rPr>
              <w:t xml:space="preserve">Het structuurperspectief</w:t>
            </w:r>
            <w:r>
              <w:rPr>
                <w:color w:val="1F2937"/>
                <w:sz w:val="22"/>
                <w:szCs w:val="22"/>
              </w:rPr>
              <w:t xml:space="preserve"> gaat meestal het makkelijkst, en levert bijna altijd één structuur op (de deploystructuur of de mappenstructuur). Dat is precies het punt uit paragraaf 1.3: architectuur is meervoud. Wie alleen de deploystructuur beschrijft, mist de module- en de datastructuur.</w:t>
            </w:r>
          </w:p>
          <w:p>
            <w:pPr>
              <w:pStyle w:val="ListParagraph"/>
              <w:numPr>
                <w:ilvl w:val="0"/>
                <w:numId w:val="2"/>
              </w:numPr>
              <w:spacing w:after="100"/>
            </w:pPr>
            <w:r>
              <w:rPr>
                <w:b/>
                <w:bCs/>
                <w:color w:val="1F2937"/>
                <w:sz w:val="22"/>
                <w:szCs w:val="22"/>
              </w:rPr>
              <w:t xml:space="preserve">Het beslissingsperspectief</w:t>
            </w:r>
            <w:r>
              <w:rPr>
                <w:color w:val="1F2937"/>
                <w:sz w:val="22"/>
                <w:szCs w:val="22"/>
              </w:rPr>
              <w:t xml:space="preserve"> is het lastigst, en dat is diagnostisch. Wie zijn eigen systeem niet in beslissingen kan beschrijven, werkt vermoedelijk in een systeem waar de beslissingen niet zijn vastgelegd. Dat is B1 in uw eigen omgeving.</w:t>
            </w:r>
          </w:p>
          <w:p>
            <w:pPr>
              <w:pStyle w:val="ListParagraph"/>
              <w:numPr>
                <w:ilvl w:val="0"/>
                <w:numId w:val="2"/>
              </w:numPr>
              <w:spacing w:after="100"/>
            </w:pPr>
            <w:r>
              <w:rPr>
                <w:b/>
                <w:bCs/>
                <w:color w:val="1F2937"/>
                <w:sz w:val="22"/>
                <w:szCs w:val="22"/>
              </w:rPr>
              <w:t xml:space="preserve">Bij het kwaliteitsperspectief</w:t>
            </w:r>
            <w:r>
              <w:rPr>
                <w:color w:val="1F2937"/>
                <w:sz w:val="22"/>
                <w:szCs w:val="22"/>
              </w:rPr>
              <w:t xml:space="preserve"> worden vrijwel altijd performance en beschikbaarheid genoemd, en vrijwel nooit aanpasbaarheid of begrijpelijkheid — terwijl die laatste twee in de praktijk de meeste kosten veroorzaken. Deel 2 komt hierop terug.</w:t>
            </w:r>
          </w:p>
          <w:p>
            <w:pPr>
              <w:pStyle w:val="ListParagraph"/>
              <w:numPr>
                <w:ilvl w:val="0"/>
                <w:numId w:val="2"/>
              </w:numPr>
              <w:spacing w:after="100"/>
            </w:pPr>
            <w:r>
              <w:rPr>
                <w:b/>
                <w:bCs/>
                <w:color w:val="1F2937"/>
                <w:sz w:val="22"/>
                <w:szCs w:val="22"/>
              </w:rPr>
              <w:t xml:space="preserve">Het vaakst gehoorde antwoord</w:t>
            </w:r>
            <w:r>
              <w:rPr>
                <w:color w:val="1F2937"/>
                <w:sz w:val="22"/>
                <w:szCs w:val="22"/>
              </w:rPr>
              <w:t xml:space="preserve"> op de slotvraag is dat b) het moeilijkst was “omdat ik er niet bij was”. Merk op dat dit hetzelfde is als zeggen: de motivering is nergens vastgelegd.</w:t>
            </w:r>
          </w:p>
        </w:tc>
      </w:tr>
    </w:tbl>
    <w:p>
      <w:pPr>
        <w:spacing w:after="300"/>
      </w:pPr>
    </w:p>
    <w:p>
      <w:pPr>
        <w:pStyle w:val="Heading1"/>
        <w:pBdr>
          <w:bottom w:val="single" w:color="E5E7EB" w:sz="6" w:space="6"/>
        </w:pBdr>
        <w:spacing w:after="180" w:before="380"/>
      </w:pPr>
      <w:r>
        <w:rPr>
          <w:b/>
          <w:bCs/>
          <w:color w:val="1F3A5F"/>
          <w:sz w:val="30"/>
          <w:szCs w:val="30"/>
        </w:rPr>
        <w:t xml:space="preserve">Opdracht 1.2 — Architectuursignificant of niet? (individueel, dan plenair, 25 minuten)</w:t>
      </w:r>
    </w:p>
    <w:p>
      <w:pPr>
        <w:spacing w:after="160" w:line="276"/>
      </w:pPr>
      <w:r>
        <w:rPr>
          <w:color w:val="1F2937"/>
          <w:sz w:val="22"/>
          <w:szCs w:val="22"/>
        </w:rPr>
        <w:t xml:space="preserve">Beoordeel de onderstaande twaalf beslissingen uit Mutatie 1.0 met het viervragencriterium uit paragraaf 1.5. Noteer per beslissing hoeveel vragen u met “ja” beantwoordt, en of de beslissing dus architectuursignificant is.</w:t>
      </w:r>
    </w:p>
    <w:tbl>
      <w:tblPr>
        <w:tblW w:type="dxa" w:w="8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600"/>
        <w:gridCol w:w="8138"/>
      </w:tblGrid>
      <w:tr>
        <w:trPr>
          <w:tblHeader/>
        </w:trPr>
        <w:tc>
          <w:tcPr>
            <w:tcW w:type="dxa" w:w="600"/>
            <w:shd w:fill="1F3A5F" w:val="clear"/>
            <w:tcMar>
              <w:top w:type="dxa" w:w="100"/>
              <w:left w:type="dxa" w:w="120"/>
              <w:bottom w:type="dxa" w:w="100"/>
              <w:right w:type="dxa" w:w="120"/>
            </w:tcMar>
            <w:vAlign w:val="center"/>
          </w:tcPr>
          <w:p>
            <w:r>
              <w:rPr>
                <w:b/>
                <w:bCs/>
                <w:color w:val="FFFFFF"/>
                <w:sz w:val="19"/>
                <w:szCs w:val="19"/>
              </w:rPr>
              <w:t xml:space="preserve">#</w:t>
            </w:r>
          </w:p>
        </w:tc>
        <w:tc>
          <w:tcPr>
            <w:tcW w:type="dxa" w:w="8138"/>
            <w:shd w:fill="1F3A5F" w:val="clear"/>
            <w:tcMar>
              <w:top w:type="dxa" w:w="100"/>
              <w:left w:type="dxa" w:w="120"/>
              <w:bottom w:type="dxa" w:w="100"/>
              <w:right w:type="dxa" w:w="120"/>
            </w:tcMar>
            <w:vAlign w:val="center"/>
          </w:tcPr>
          <w:p>
            <w:r>
              <w:rPr>
                <w:b/>
                <w:bCs/>
                <w:color w:val="FFFFFF"/>
                <w:sz w:val="19"/>
                <w:szCs w:val="19"/>
              </w:rPr>
              <w:t xml:space="preserve">Beslissing</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1</w:t>
            </w:r>
          </w:p>
        </w:tc>
        <w:tc>
          <w:tcPr>
            <w:tcW w:type="dxa" w:w="8138"/>
            <w:tcMar>
              <w:top w:type="dxa" w:w="100"/>
              <w:left w:type="dxa" w:w="120"/>
              <w:bottom w:type="dxa" w:w="100"/>
              <w:right w:type="dxa" w:w="120"/>
            </w:tcMar>
            <w:vAlign w:val="center"/>
          </w:tcPr>
          <w:p>
            <w:r>
              <w:rPr>
                <w:b w:val="false"/>
                <w:bCs w:val="false"/>
                <w:color w:val="1F2937"/>
                <w:sz w:val="19"/>
                <w:szCs w:val="19"/>
              </w:rPr>
              <w:t xml:space="preserve">Elke service houdt een eigen kopie van deelnemersgegevens bij, gevuld via nachtelijke export.</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2</w:t>
            </w:r>
          </w:p>
        </w:tc>
        <w:tc>
          <w:tcPr>
            <w:tcW w:type="dxa" w:w="8138"/>
            <w:tcMar>
              <w:top w:type="dxa" w:w="100"/>
              <w:left w:type="dxa" w:w="120"/>
              <w:bottom w:type="dxa" w:w="100"/>
              <w:right w:type="dxa" w:w="120"/>
            </w:tcMar>
            <w:vAlign w:val="center"/>
          </w:tcPr>
          <w:p>
            <w:r>
              <w:rPr>
                <w:b w:val="false"/>
                <w:bCs w:val="false"/>
                <w:color w:val="1F2937"/>
                <w:sz w:val="19"/>
                <w:szCs w:val="19"/>
              </w:rPr>
              <w:t xml:space="preserve">Foutmeldingen aan de gebruiker worden in het Nederlands getoond.</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3</w:t>
            </w:r>
          </w:p>
        </w:tc>
        <w:tc>
          <w:tcPr>
            <w:tcW w:type="dxa" w:w="8138"/>
            <w:tcMar>
              <w:top w:type="dxa" w:w="100"/>
              <w:left w:type="dxa" w:w="120"/>
              <w:bottom w:type="dxa" w:w="100"/>
              <w:right w:type="dxa" w:w="120"/>
            </w:tcMar>
            <w:vAlign w:val="center"/>
          </w:tcPr>
          <w:p>
            <w:r>
              <w:rPr>
                <w:b w:val="false"/>
                <w:bCs w:val="false"/>
                <w:color w:val="1F2937"/>
                <w:sz w:val="19"/>
                <w:szCs w:val="19"/>
              </w:rPr>
              <w:t xml:space="preserve">Communicatie tussen services verloopt via een berichtenbus, behalve tussen service 3 en 7, die elkaar direct aanroepen.</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4</w:t>
            </w:r>
          </w:p>
        </w:tc>
        <w:tc>
          <w:tcPr>
            <w:tcW w:type="dxa" w:w="8138"/>
            <w:tcMar>
              <w:top w:type="dxa" w:w="100"/>
              <w:left w:type="dxa" w:w="120"/>
              <w:bottom w:type="dxa" w:w="100"/>
              <w:right w:type="dxa" w:w="120"/>
            </w:tcMar>
            <w:vAlign w:val="center"/>
          </w:tcPr>
          <w:p>
            <w:r>
              <w:rPr>
                <w:b w:val="false"/>
                <w:bCs w:val="false"/>
                <w:color w:val="1F2937"/>
                <w:sz w:val="19"/>
                <w:szCs w:val="19"/>
              </w:rPr>
              <w:t xml:space="preserve">Adresvalidatie gebeurt met een externe postcodedienst, synchroon aangeroepen tijdens het invoeren.</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5</w:t>
            </w:r>
          </w:p>
        </w:tc>
        <w:tc>
          <w:tcPr>
            <w:tcW w:type="dxa" w:w="8138"/>
            <w:tcMar>
              <w:top w:type="dxa" w:w="100"/>
              <w:left w:type="dxa" w:w="120"/>
              <w:bottom w:type="dxa" w:w="100"/>
              <w:right w:type="dxa" w:w="120"/>
            </w:tcMar>
            <w:vAlign w:val="center"/>
          </w:tcPr>
          <w:p>
            <w:r>
              <w:rPr>
                <w:b w:val="false"/>
                <w:bCs w:val="false"/>
                <w:color w:val="1F2937"/>
                <w:sz w:val="19"/>
                <w:szCs w:val="19"/>
              </w:rPr>
              <w:t xml:space="preserve">De frontend gebruikt een componentbibliotheek van de leverancier.</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6</w:t>
            </w:r>
          </w:p>
        </w:tc>
        <w:tc>
          <w:tcPr>
            <w:tcW w:type="dxa" w:w="8138"/>
            <w:tcMar>
              <w:top w:type="dxa" w:w="100"/>
              <w:left w:type="dxa" w:w="120"/>
              <w:bottom w:type="dxa" w:w="100"/>
              <w:right w:type="dxa" w:w="120"/>
            </w:tcMar>
            <w:vAlign w:val="center"/>
          </w:tcPr>
          <w:p>
            <w:r>
              <w:rPr>
                <w:b w:val="false"/>
                <w:bCs w:val="false"/>
                <w:color w:val="1F2937"/>
                <w:sz w:val="19"/>
                <w:szCs w:val="19"/>
              </w:rPr>
              <w:t xml:space="preserve">Mutaties worden bewaard als eindtoestand, niet als reeks gebeurtenissen.</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7</w:t>
            </w:r>
          </w:p>
        </w:tc>
        <w:tc>
          <w:tcPr>
            <w:tcW w:type="dxa" w:w="8138"/>
            <w:tcMar>
              <w:top w:type="dxa" w:w="100"/>
              <w:left w:type="dxa" w:w="120"/>
              <w:bottom w:type="dxa" w:w="100"/>
              <w:right w:type="dxa" w:w="120"/>
            </w:tcMar>
            <w:vAlign w:val="center"/>
          </w:tcPr>
          <w:p>
            <w:r>
              <w:rPr>
                <w:b w:val="false"/>
                <w:bCs w:val="false"/>
                <w:color w:val="1F2937"/>
                <w:sz w:val="19"/>
                <w:szCs w:val="19"/>
              </w:rPr>
              <w:t xml:space="preserve">Logregels worden per service in een eigen bestand geschreven.</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8</w:t>
            </w:r>
          </w:p>
        </w:tc>
        <w:tc>
          <w:tcPr>
            <w:tcW w:type="dxa" w:w="8138"/>
            <w:tcMar>
              <w:top w:type="dxa" w:w="100"/>
              <w:left w:type="dxa" w:w="120"/>
              <w:bottom w:type="dxa" w:w="100"/>
              <w:right w:type="dxa" w:w="120"/>
            </w:tcMar>
            <w:vAlign w:val="center"/>
          </w:tcPr>
          <w:p>
            <w:r>
              <w:rPr>
                <w:b w:val="false"/>
                <w:bCs w:val="false"/>
                <w:color w:val="1F2937"/>
                <w:sz w:val="19"/>
                <w:szCs w:val="19"/>
              </w:rPr>
              <w:t xml:space="preserve">Er wordt gebouwd in Java 17.</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9</w:t>
            </w:r>
          </w:p>
        </w:tc>
        <w:tc>
          <w:tcPr>
            <w:tcW w:type="dxa" w:w="8138"/>
            <w:tcMar>
              <w:top w:type="dxa" w:w="100"/>
              <w:left w:type="dxa" w:w="120"/>
              <w:bottom w:type="dxa" w:w="100"/>
              <w:right w:type="dxa" w:w="120"/>
            </w:tcMar>
            <w:vAlign w:val="center"/>
          </w:tcPr>
          <w:p>
            <w:r>
              <w:rPr>
                <w:b w:val="false"/>
                <w:bCs w:val="false"/>
                <w:color w:val="1F2937"/>
                <w:sz w:val="19"/>
                <w:szCs w:val="19"/>
              </w:rPr>
              <w:t xml:space="preserve">Datumvelden worden opgeslagen zonder tijdzone-informatie.</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10</w:t>
            </w:r>
          </w:p>
        </w:tc>
        <w:tc>
          <w:tcPr>
            <w:tcW w:type="dxa" w:w="8138"/>
            <w:tcMar>
              <w:top w:type="dxa" w:w="100"/>
              <w:left w:type="dxa" w:w="120"/>
              <w:bottom w:type="dxa" w:w="100"/>
              <w:right w:type="dxa" w:w="120"/>
            </w:tcMar>
            <w:vAlign w:val="center"/>
          </w:tcPr>
          <w:p>
            <w:r>
              <w:rPr>
                <w:b w:val="false"/>
                <w:bCs w:val="false"/>
                <w:color w:val="1F2937"/>
                <w:sz w:val="19"/>
                <w:szCs w:val="19"/>
              </w:rPr>
              <w:t xml:space="preserve">De knop “mutatie indienen” staat rechtsonder in het scherm.</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11</w:t>
            </w:r>
          </w:p>
        </w:tc>
        <w:tc>
          <w:tcPr>
            <w:tcW w:type="dxa" w:w="8138"/>
            <w:tcMar>
              <w:top w:type="dxa" w:w="100"/>
              <w:left w:type="dxa" w:w="120"/>
              <w:bottom w:type="dxa" w:w="100"/>
              <w:right w:type="dxa" w:w="120"/>
            </w:tcMar>
            <w:vAlign w:val="center"/>
          </w:tcPr>
          <w:p>
            <w:r>
              <w:rPr>
                <w:b w:val="false"/>
                <w:bCs w:val="false"/>
                <w:color w:val="1F2937"/>
                <w:sz w:val="19"/>
                <w:szCs w:val="19"/>
              </w:rPr>
              <w:t xml:space="preserve">Autorisatie wordt per service afzonderlijk geïmplementeerd op basis van een gedeeld token.</w:t>
            </w:r>
          </w:p>
        </w:tc>
      </w:tr>
      <w:tr>
        <w:trPr>
          <w:cantSplit/>
        </w:trPr>
        <w:tc>
          <w:tcPr>
            <w:tcW w:type="dxa" w:w="600"/>
            <w:tcMar>
              <w:top w:type="dxa" w:w="100"/>
              <w:left w:type="dxa" w:w="120"/>
              <w:bottom w:type="dxa" w:w="100"/>
              <w:right w:type="dxa" w:w="120"/>
            </w:tcMar>
            <w:vAlign w:val="center"/>
          </w:tcPr>
          <w:p>
            <w:r>
              <w:rPr>
                <w:b w:val="false"/>
                <w:bCs w:val="false"/>
                <w:color w:val="1F2937"/>
                <w:sz w:val="19"/>
                <w:szCs w:val="19"/>
              </w:rPr>
              <w:t xml:space="preserve">12</w:t>
            </w:r>
          </w:p>
        </w:tc>
        <w:tc>
          <w:tcPr>
            <w:tcW w:type="dxa" w:w="8138"/>
            <w:tcMar>
              <w:top w:type="dxa" w:w="100"/>
              <w:left w:type="dxa" w:w="120"/>
              <w:bottom w:type="dxa" w:w="100"/>
              <w:right w:type="dxa" w:w="120"/>
            </w:tcMar>
            <w:vAlign w:val="center"/>
          </w:tcPr>
          <w:p>
            <w:r>
              <w:rPr>
                <w:b w:val="false"/>
                <w:bCs w:val="false"/>
                <w:color w:val="1F2937"/>
                <w:sz w:val="19"/>
                <w:szCs w:val="19"/>
              </w:rPr>
              <w:t xml:space="preserve">Het systeem wordt eens per twee weken in zijn geheel gedeployd.</w:t>
            </w:r>
          </w:p>
        </w:tc>
      </w:tr>
    </w:tbl>
    <w:p>
      <w:pPr>
        <w:spacing w:after="300"/>
      </w:pPr>
    </w:p>
    <w:p>
      <w:pPr>
        <w:spacing w:after="160" w:line="276"/>
      </w:pPr>
      <w:r>
        <w:rPr>
          <w:b/>
          <w:bCs/>
          <w:color w:val="1F2937"/>
          <w:sz w:val="22"/>
          <w:szCs w:val="22"/>
        </w:rPr>
        <w:t xml:space="preserve">Vervolgvraag voor de plenaire bespreking: </w:t>
      </w:r>
      <w:r>
        <w:rPr>
          <w:color w:val="1F2937"/>
          <w:sz w:val="22"/>
          <w:szCs w:val="22"/>
        </w:rPr>
        <w:t xml:space="preserve">welke van deze beslissingen zijn in de post-mortem terug te vinden als (deel)oorzaak van een bevinding? Koppel er minimaal vier aan een bevinding B1–B7.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w:t>
            </w:r>
          </w:p>
          <w:p>
            <w:pPr>
              <w:spacing w:after="80"/>
            </w:pPr>
          </w:p>
          <w:p>
            <w:pPr>
              <w:spacing w:after="120" w:line="276"/>
            </w:pPr>
            <w:r>
              <w:rPr>
                <w:color w:val="1F2937"/>
                <w:sz w:val="21"/>
                <w:szCs w:val="21"/>
              </w:rPr>
              <w:t xml:space="preserve">De aantallen hieronder zijn een verdedigbare score, geen enige waarheid. Waar de beoordeling kan kantelen, staat dat erbij.</w:t>
            </w:r>
          </w:p>
          <w:tbl>
            <w:tblPr>
              <w:tblW w:type="dxa" w:w="8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000"/>
              <w:gridCol w:w="1900"/>
              <w:gridCol w:w="43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000"/>
                  <w:shd w:fill="1F3A5F" w:val="clear"/>
                  <w:tcMar>
                    <w:top w:type="dxa" w:w="100"/>
                    <w:left w:type="dxa" w:w="120"/>
                    <w:bottom w:type="dxa" w:w="100"/>
                    <w:right w:type="dxa" w:w="120"/>
                  </w:tcMar>
                  <w:vAlign w:val="center"/>
                </w:tcPr>
                <w:p>
                  <w:r>
                    <w:rPr>
                      <w:b/>
                      <w:bCs/>
                      <w:color w:val="FFFFFF"/>
                      <w:sz w:val="19"/>
                      <w:szCs w:val="19"/>
                    </w:rPr>
                    <w:t xml:space="preserve">Ja-antwoorden</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Significant?</w:t>
                  </w:r>
                </w:p>
              </w:tc>
              <w:tc>
                <w:tcPr>
                  <w:tcW w:type="dxa" w:w="4338"/>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000"/>
                  <w:tcMar>
                    <w:top w:type="dxa" w:w="100"/>
                    <w:left w:type="dxa" w:w="120"/>
                    <w:bottom w:type="dxa" w:w="100"/>
                    <w:right w:type="dxa" w:w="120"/>
                  </w:tcMar>
                  <w:vAlign w:val="center"/>
                </w:tcPr>
                <w:p>
                  <w:r>
                    <w:rPr>
                      <w:b w:val="false"/>
                      <w:bCs w:val="false"/>
                      <w:color w:val="1F2937"/>
                      <w:sz w:val="19"/>
                      <w:szCs w:val="19"/>
                    </w:rPr>
                    <w:t xml:space="preserve">4 (meerdere componenten, duur, kwaliteitseis actualiteit, bindt anderen)</w:t>
                  </w:r>
                </w:p>
              </w:tc>
              <w:tc>
                <w:tcPr>
                  <w:tcW w:type="dxa" w:w="1900"/>
                  <w:tcMar>
                    <w:top w:type="dxa" w:w="100"/>
                    <w:left w:type="dxa" w:w="120"/>
                    <w:bottom w:type="dxa" w:w="100"/>
                    <w:right w:type="dxa" w:w="120"/>
                  </w:tcMar>
                  <w:vAlign w:val="center"/>
                </w:tcPr>
                <w:p>
                  <w:r>
                    <w:rPr>
                      <w:b w:val="false"/>
                      <w:bCs w:val="false"/>
                      <w:color w:val="1F2937"/>
                      <w:sz w:val="19"/>
                      <w:szCs w:val="19"/>
                    </w:rPr>
                    <w:t xml:space="preserve">Ja, zwaar</w:t>
                  </w:r>
                </w:p>
              </w:tc>
              <w:tc>
                <w:tcPr>
                  <w:tcW w:type="dxa" w:w="4338"/>
                  <w:tcMar>
                    <w:top w:type="dxa" w:w="100"/>
                    <w:left w:type="dxa" w:w="120"/>
                    <w:bottom w:type="dxa" w:w="100"/>
                    <w:right w:type="dxa" w:w="120"/>
                  </w:tcMar>
                  <w:vAlign w:val="center"/>
                </w:tcPr>
                <w:p>
                  <w:r>
                    <w:rPr>
                      <w:b w:val="false"/>
                      <w:bCs w:val="false"/>
                      <w:color w:val="1F2937"/>
                      <w:sz w:val="19"/>
                      <w:szCs w:val="19"/>
                    </w:rPr>
                    <w:t xml:space="preserve">Het schoolvoorbeeld uit paragraaf 1.5. Nachtelijke synchronisatie maakt gegevens tot 24 uur oud — een probleem voor een mutatieplatform waarvan de kern is dat een mutatie snel doorwerkt.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000"/>
                  <w:tcMar>
                    <w:top w:type="dxa" w:w="100"/>
                    <w:left w:type="dxa" w:w="120"/>
                    <w:bottom w:type="dxa" w:w="100"/>
                    <w:right w:type="dxa" w:w="120"/>
                  </w:tcMar>
                  <w:vAlign w:val="center"/>
                </w:tcPr>
                <w:p>
                  <w:r>
                    <w:rPr>
                      <w:b w:val="false"/>
                      <w:bCs w:val="false"/>
                      <w:color w:val="1F2937"/>
                      <w:sz w:val="19"/>
                      <w:szCs w:val="19"/>
                    </w:rPr>
                    <w:t xml:space="preserve">0–1</w:t>
                  </w:r>
                </w:p>
              </w:tc>
              <w:tc>
                <w:tcPr>
                  <w:tcW w:type="dxa" w:w="1900"/>
                  <w:tcMar>
                    <w:top w:type="dxa" w:w="100"/>
                    <w:left w:type="dxa" w:w="120"/>
                    <w:bottom w:type="dxa" w:w="100"/>
                    <w:right w:type="dxa" w:w="120"/>
                  </w:tcMar>
                  <w:vAlign w:val="center"/>
                </w:tcPr>
                <w:p>
                  <w:r>
                    <w:rPr>
                      <w:b w:val="false"/>
                      <w:bCs w:val="false"/>
                      <w:color w:val="1F2937"/>
                      <w:sz w:val="19"/>
                      <w:szCs w:val="19"/>
                    </w:rPr>
                    <w:t xml:space="preserve">Nee</w:t>
                  </w:r>
                </w:p>
              </w:tc>
              <w:tc>
                <w:tcPr>
                  <w:tcW w:type="dxa" w:w="4338"/>
                  <w:tcMar>
                    <w:top w:type="dxa" w:w="100"/>
                    <w:left w:type="dxa" w:w="120"/>
                    <w:bottom w:type="dxa" w:w="100"/>
                    <w:right w:type="dxa" w:w="120"/>
                  </w:tcMar>
                  <w:vAlign w:val="center"/>
                </w:tcPr>
                <w:p>
                  <w:r>
                    <w:rPr>
                      <w:b w:val="false"/>
                      <w:bCs w:val="false"/>
                      <w:color w:val="1F2937"/>
                      <w:sz w:val="19"/>
                      <w:szCs w:val="19"/>
                    </w:rPr>
                    <w:t xml:space="preserve">Tenzij meertaligheid een eis is; dan verschuift het naar een cross-cutting concern (deel 8) en wordt het significant.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000"/>
                  <w:tcMar>
                    <w:top w:type="dxa" w:w="100"/>
                    <w:left w:type="dxa" w:w="120"/>
                    <w:bottom w:type="dxa" w:w="100"/>
                    <w:right w:type="dxa" w:w="120"/>
                  </w:tcMar>
                  <w:vAlign w:val="center"/>
                </w:tcPr>
                <w:p>
                  <w:r>
                    <w:rPr>
                      <w:b w:val="false"/>
                      <w:bCs w:val="false"/>
                      <w:color w:val="1F2937"/>
                      <w:sz w:val="19"/>
                      <w:szCs w:val="19"/>
                    </w:rPr>
                    <w:t xml:space="preserve">4</w:t>
                  </w:r>
                </w:p>
              </w:tc>
              <w:tc>
                <w:tcPr>
                  <w:tcW w:type="dxa" w:w="1900"/>
                  <w:tcMar>
                    <w:top w:type="dxa" w:w="100"/>
                    <w:left w:type="dxa" w:w="120"/>
                    <w:bottom w:type="dxa" w:w="100"/>
                    <w:right w:type="dxa" w:w="120"/>
                  </w:tcMar>
                  <w:vAlign w:val="center"/>
                </w:tcPr>
                <w:p>
                  <w:r>
                    <w:rPr>
                      <w:b w:val="false"/>
                      <w:bCs w:val="false"/>
                      <w:color w:val="1F2937"/>
                      <w:sz w:val="19"/>
                      <w:szCs w:val="19"/>
                    </w:rPr>
                    <w:t xml:space="preserve">Ja</w:t>
                  </w:r>
                </w:p>
              </w:tc>
              <w:tc>
                <w:tcPr>
                  <w:tcW w:type="dxa" w:w="4338"/>
                  <w:tcMar>
                    <w:top w:type="dxa" w:w="100"/>
                    <w:left w:type="dxa" w:w="120"/>
                    <w:bottom w:type="dxa" w:w="100"/>
                    <w:right w:type="dxa" w:w="120"/>
                  </w:tcMar>
                  <w:vAlign w:val="center"/>
                </w:tcPr>
                <w:p>
                  <w:r>
                    <w:rPr>
                      <w:b w:val="false"/>
                      <w:bCs w:val="false"/>
                      <w:color w:val="1F2937"/>
                      <w:sz w:val="19"/>
                      <w:szCs w:val="19"/>
                    </w:rPr>
                    <w:t xml:space="preserve">Niet zozeer de bus, maar de uitzondering. Eén afwijking op een communicatiepatroon is een architectuurbeslissing die zelden als zodanig wordt herkend, en die anderen de vraag geeft “mag ik dan ook?”.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000"/>
                  <w:tcMar>
                    <w:top w:type="dxa" w:w="100"/>
                    <w:left w:type="dxa" w:w="120"/>
                    <w:bottom w:type="dxa" w:w="100"/>
                    <w:right w:type="dxa" w:w="120"/>
                  </w:tcMar>
                  <w:vAlign w:val="center"/>
                </w:tcPr>
                <w:p>
                  <w:r>
                    <w:rPr>
                      <w:b w:val="false"/>
                      <w:bCs w:val="false"/>
                      <w:color w:val="1F2937"/>
                      <w:sz w:val="19"/>
                      <w:szCs w:val="19"/>
                    </w:rPr>
                    <w:t xml:space="preserve">3 (kwaliteitseis doorlooptijd, bindt, moeilijk terug te draaien in de UI-flow)</w:t>
                  </w:r>
                </w:p>
              </w:tc>
              <w:tc>
                <w:tcPr>
                  <w:tcW w:type="dxa" w:w="1900"/>
                  <w:tcMar>
                    <w:top w:type="dxa" w:w="100"/>
                    <w:left w:type="dxa" w:w="120"/>
                    <w:bottom w:type="dxa" w:w="100"/>
                    <w:right w:type="dxa" w:w="120"/>
                  </w:tcMar>
                  <w:vAlign w:val="center"/>
                </w:tcPr>
                <w:p>
                  <w:r>
                    <w:rPr>
                      <w:b w:val="false"/>
                      <w:bCs w:val="false"/>
                      <w:color w:val="1F2937"/>
                      <w:sz w:val="19"/>
                      <w:szCs w:val="19"/>
                    </w:rPr>
                    <w:t xml:space="preserve">Ja</w:t>
                  </w:r>
                </w:p>
              </w:tc>
              <w:tc>
                <w:tcPr>
                  <w:tcW w:type="dxa" w:w="4338"/>
                  <w:tcMar>
                    <w:top w:type="dxa" w:w="100"/>
                    <w:left w:type="dxa" w:w="120"/>
                    <w:bottom w:type="dxa" w:w="100"/>
                    <w:right w:type="dxa" w:w="120"/>
                  </w:tcMar>
                  <w:vAlign w:val="center"/>
                </w:tcPr>
                <w:p>
                  <w:r>
                    <w:rPr>
                      <w:b w:val="false"/>
                      <w:bCs w:val="false"/>
                      <w:color w:val="1F2937"/>
                      <w:sz w:val="19"/>
                      <w:szCs w:val="19"/>
                    </w:rPr>
                    <w:t xml:space="preserve">Een synchrone afhankelijkheid van een externe dienst in het invoerpad is een beschikbaarheids- en performancebeslissing. Draagt direct bij aan B5.</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000"/>
                  <w:tcMar>
                    <w:top w:type="dxa" w:w="100"/>
                    <w:left w:type="dxa" w:w="120"/>
                    <w:bottom w:type="dxa" w:w="100"/>
                    <w:right w:type="dxa" w:w="120"/>
                  </w:tcMar>
                  <w:vAlign w:val="center"/>
                </w:tcPr>
                <w:p>
                  <w:r>
                    <w:rPr>
                      <w:b w:val="false"/>
                      <w:bCs w:val="false"/>
                      <w:color w:val="1F2937"/>
                      <w:sz w:val="19"/>
                      <w:szCs w:val="19"/>
                    </w:rPr>
                    <w:t xml:space="preserve">1–2</w:t>
                  </w:r>
                </w:p>
              </w:tc>
              <w:tc>
                <w:tcPr>
                  <w:tcW w:type="dxa" w:w="1900"/>
                  <w:tcMar>
                    <w:top w:type="dxa" w:w="100"/>
                    <w:left w:type="dxa" w:w="120"/>
                    <w:bottom w:type="dxa" w:w="100"/>
                    <w:right w:type="dxa" w:w="120"/>
                  </w:tcMar>
                  <w:vAlign w:val="center"/>
                </w:tcPr>
                <w:p>
                  <w:r>
                    <w:rPr>
                      <w:b w:val="false"/>
                      <w:bCs w:val="false"/>
                      <w:color w:val="1F2937"/>
                      <w:sz w:val="19"/>
                      <w:szCs w:val="19"/>
                    </w:rPr>
                    <w:t xml:space="preserve">Grensgeval</w:t>
                  </w:r>
                </w:p>
              </w:tc>
              <w:tc>
                <w:tcPr>
                  <w:tcW w:type="dxa" w:w="4338"/>
                  <w:tcMar>
                    <w:top w:type="dxa" w:w="100"/>
                    <w:left w:type="dxa" w:w="120"/>
                    <w:bottom w:type="dxa" w:w="100"/>
                    <w:right w:type="dxa" w:w="120"/>
                  </w:tcMar>
                  <w:vAlign w:val="center"/>
                </w:tcPr>
                <w:p>
                  <w:r>
                    <w:rPr>
                      <w:b w:val="false"/>
                      <w:bCs w:val="false"/>
                      <w:color w:val="1F2937"/>
                      <w:sz w:val="19"/>
                      <w:szCs w:val="19"/>
                    </w:rPr>
                    <w:t xml:space="preserve">Wordt significant als de bibliotheek leveranciergebonden is en het systeem daarmee aan die leverancier vastzit (vendor lock-in — vraag 2 kantelt dan naar ja).</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000"/>
                  <w:tcMar>
                    <w:top w:type="dxa" w:w="100"/>
                    <w:left w:type="dxa" w:w="120"/>
                    <w:bottom w:type="dxa" w:w="100"/>
                    <w:right w:type="dxa" w:w="120"/>
                  </w:tcMar>
                  <w:vAlign w:val="center"/>
                </w:tcPr>
                <w:p>
                  <w:r>
                    <w:rPr>
                      <w:b w:val="false"/>
                      <w:bCs w:val="false"/>
                      <w:color w:val="1F2937"/>
                      <w:sz w:val="19"/>
                      <w:szCs w:val="19"/>
                    </w:rPr>
                    <w:t xml:space="preserve">4</w:t>
                  </w:r>
                </w:p>
              </w:tc>
              <w:tc>
                <w:tcPr>
                  <w:tcW w:type="dxa" w:w="1900"/>
                  <w:tcMar>
                    <w:top w:type="dxa" w:w="100"/>
                    <w:left w:type="dxa" w:w="120"/>
                    <w:bottom w:type="dxa" w:w="100"/>
                    <w:right w:type="dxa" w:w="120"/>
                  </w:tcMar>
                  <w:vAlign w:val="center"/>
                </w:tcPr>
                <w:p>
                  <w:r>
                    <w:rPr>
                      <w:b w:val="false"/>
                      <w:bCs w:val="false"/>
                      <w:color w:val="1F2937"/>
                      <w:sz w:val="19"/>
                      <w:szCs w:val="19"/>
                    </w:rPr>
                    <w:t xml:space="preserve">Ja, zwaar</w:t>
                  </w:r>
                </w:p>
              </w:tc>
              <w:tc>
                <w:tcPr>
                  <w:tcW w:type="dxa" w:w="4338"/>
                  <w:tcMar>
                    <w:top w:type="dxa" w:w="100"/>
                    <w:left w:type="dxa" w:w="120"/>
                    <w:bottom w:type="dxa" w:w="100"/>
                    <w:right w:type="dxa" w:w="120"/>
                  </w:tcMar>
                  <w:vAlign w:val="center"/>
                </w:tcPr>
                <w:p>
                  <w:r>
                    <w:rPr>
                      <w:b w:val="false"/>
                      <w:bCs w:val="false"/>
                      <w:color w:val="1F2937"/>
                      <w:sz w:val="19"/>
                      <w:szCs w:val="19"/>
                    </w:rPr>
                    <w:t xml:space="preserve">Eindtoestand versus gebeurtenissenreeks bepaalt of een audittrail achteraf reconstrueerbaar is. Voor een systeem met toezichthouderseisen is dit een van de duurste beslissingen om terug te draaien.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000"/>
                  <w:tcMar>
                    <w:top w:type="dxa" w:w="100"/>
                    <w:left w:type="dxa" w:w="120"/>
                    <w:bottom w:type="dxa" w:w="100"/>
                    <w:right w:type="dxa" w:w="120"/>
                  </w:tcMar>
                  <w:vAlign w:val="center"/>
                </w:tcPr>
                <w:p>
                  <w:r>
                    <w:rPr>
                      <w:b w:val="false"/>
                      <w:bCs w:val="false"/>
                      <w:color w:val="1F2937"/>
                      <w:sz w:val="19"/>
                      <w:szCs w:val="19"/>
                    </w:rPr>
                    <w:t xml:space="preserve">3</w:t>
                  </w:r>
                </w:p>
              </w:tc>
              <w:tc>
                <w:tcPr>
                  <w:tcW w:type="dxa" w:w="1900"/>
                  <w:tcMar>
                    <w:top w:type="dxa" w:w="100"/>
                    <w:left w:type="dxa" w:w="120"/>
                    <w:bottom w:type="dxa" w:w="100"/>
                    <w:right w:type="dxa" w:w="120"/>
                  </w:tcMar>
                  <w:vAlign w:val="center"/>
                </w:tcPr>
                <w:p>
                  <w:r>
                    <w:rPr>
                      <w:b w:val="false"/>
                      <w:bCs w:val="false"/>
                      <w:color w:val="1F2937"/>
                      <w:sz w:val="19"/>
                      <w:szCs w:val="19"/>
                    </w:rPr>
                    <w:t xml:space="preserve">Ja</w:t>
                  </w:r>
                </w:p>
              </w:tc>
              <w:tc>
                <w:tcPr>
                  <w:tcW w:type="dxa" w:w="4338"/>
                  <w:tcMar>
                    <w:top w:type="dxa" w:w="100"/>
                    <w:left w:type="dxa" w:w="120"/>
                    <w:bottom w:type="dxa" w:w="100"/>
                    <w:right w:type="dxa" w:w="120"/>
                  </w:tcMar>
                  <w:vAlign w:val="center"/>
                </w:tcPr>
                <w:p>
                  <w:r>
                    <w:rPr>
                      <w:b w:val="false"/>
                      <w:bCs w:val="false"/>
                      <w:color w:val="1F2937"/>
                      <w:sz w:val="19"/>
                      <w:szCs w:val="19"/>
                    </w:rPr>
                    <w:t xml:space="preserve">Op zichzelf klein, maar het maakt storingen over servicegrenzen heen onvolgbaar bij elf services. Rechtstreeks B7.</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2000"/>
                  <w:tcMar>
                    <w:top w:type="dxa" w:w="100"/>
                    <w:left w:type="dxa" w:w="120"/>
                    <w:bottom w:type="dxa" w:w="100"/>
                    <w:right w:type="dxa" w:w="120"/>
                  </w:tcMar>
                  <w:vAlign w:val="center"/>
                </w:tcPr>
                <w:p>
                  <w:r>
                    <w:rPr>
                      <w:b w:val="false"/>
                      <w:bCs w:val="false"/>
                      <w:color w:val="1F2937"/>
                      <w:sz w:val="19"/>
                      <w:szCs w:val="19"/>
                    </w:rPr>
                    <w:t xml:space="preserve">2–3</w:t>
                  </w:r>
                </w:p>
              </w:tc>
              <w:tc>
                <w:tcPr>
                  <w:tcW w:type="dxa" w:w="1900"/>
                  <w:tcMar>
                    <w:top w:type="dxa" w:w="100"/>
                    <w:left w:type="dxa" w:w="120"/>
                    <w:bottom w:type="dxa" w:w="100"/>
                    <w:right w:type="dxa" w:w="120"/>
                  </w:tcMar>
                  <w:vAlign w:val="center"/>
                </w:tcPr>
                <w:p>
                  <w:r>
                    <w:rPr>
                      <w:b w:val="false"/>
                      <w:bCs w:val="false"/>
                      <w:color w:val="1F2937"/>
                      <w:sz w:val="19"/>
                      <w:szCs w:val="19"/>
                    </w:rPr>
                    <w:t xml:space="preserve">Ja, maar zelden controversieel</w:t>
                  </w:r>
                </w:p>
              </w:tc>
              <w:tc>
                <w:tcPr>
                  <w:tcW w:type="dxa" w:w="4338"/>
                  <w:tcMar>
                    <w:top w:type="dxa" w:w="100"/>
                    <w:left w:type="dxa" w:w="120"/>
                    <w:bottom w:type="dxa" w:w="100"/>
                    <w:right w:type="dxa" w:w="120"/>
                  </w:tcMar>
                  <w:vAlign w:val="center"/>
                </w:tcPr>
                <w:p>
                  <w:r>
                    <w:rPr>
                      <w:b w:val="false"/>
                      <w:bCs w:val="false"/>
                      <w:color w:val="1F2937"/>
                      <w:sz w:val="19"/>
                      <w:szCs w:val="19"/>
                    </w:rPr>
                    <w:t xml:space="preserve">Taalkeuze bindt iedereen en is duur om terug te draaien. Dat het onomstreden is, maakt het niet onbelangrijk: het is de reden dat het zelden wordt vastgelegd, waardoor de motivering verdwijnt.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2000"/>
                  <w:tcMar>
                    <w:top w:type="dxa" w:w="100"/>
                    <w:left w:type="dxa" w:w="120"/>
                    <w:bottom w:type="dxa" w:w="100"/>
                    <w:right w:type="dxa" w:w="120"/>
                  </w:tcMar>
                  <w:vAlign w:val="center"/>
                </w:tcPr>
                <w:p>
                  <w:r>
                    <w:rPr>
                      <w:b w:val="false"/>
                      <w:bCs w:val="false"/>
                      <w:color w:val="1F2937"/>
                      <w:sz w:val="19"/>
                      <w:szCs w:val="19"/>
                    </w:rPr>
                    <w:t xml:space="preserve">3–4</w:t>
                  </w:r>
                </w:p>
              </w:tc>
              <w:tc>
                <w:tcPr>
                  <w:tcW w:type="dxa" w:w="1900"/>
                  <w:tcMar>
                    <w:top w:type="dxa" w:w="100"/>
                    <w:left w:type="dxa" w:w="120"/>
                    <w:bottom w:type="dxa" w:w="100"/>
                    <w:right w:type="dxa" w:w="120"/>
                  </w:tcMar>
                  <w:vAlign w:val="center"/>
                </w:tcPr>
                <w:p>
                  <w:r>
                    <w:rPr>
                      <w:b w:val="false"/>
                      <w:bCs w:val="false"/>
                      <w:color w:val="1F2937"/>
                      <w:sz w:val="19"/>
                      <w:szCs w:val="19"/>
                    </w:rPr>
                    <w:t xml:space="preserve">Ja</w:t>
                  </w:r>
                </w:p>
              </w:tc>
              <w:tc>
                <w:tcPr>
                  <w:tcW w:type="dxa" w:w="4338"/>
                  <w:tcMar>
                    <w:top w:type="dxa" w:w="100"/>
                    <w:left w:type="dxa" w:w="120"/>
                    <w:bottom w:type="dxa" w:w="100"/>
                    <w:right w:type="dxa" w:w="120"/>
                  </w:tcMar>
                  <w:vAlign w:val="center"/>
                </w:tcPr>
                <w:p>
                  <w:r>
                    <w:rPr>
                      <w:b w:val="false"/>
                      <w:bCs w:val="false"/>
                      <w:color w:val="1F2937"/>
                      <w:sz w:val="19"/>
                      <w:szCs w:val="19"/>
                    </w:rPr>
                    <w:t xml:space="preserve">Klassieke stille killer. Peildatums en tijdzones in pensioenadministratie bepalen rechten. Cross-cutting (deel 8).</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2000"/>
                  <w:tcMar>
                    <w:top w:type="dxa" w:w="100"/>
                    <w:left w:type="dxa" w:w="120"/>
                    <w:bottom w:type="dxa" w:w="100"/>
                    <w:right w:type="dxa" w:w="120"/>
                  </w:tcMar>
                  <w:vAlign w:val="center"/>
                </w:tcPr>
                <w:p>
                  <w:r>
                    <w:rPr>
                      <w:b w:val="false"/>
                      <w:bCs w:val="false"/>
                      <w:color w:val="1F2937"/>
                      <w:sz w:val="19"/>
                      <w:szCs w:val="19"/>
                    </w:rPr>
                    <w:t xml:space="preserve">0</w:t>
                  </w:r>
                </w:p>
              </w:tc>
              <w:tc>
                <w:tcPr>
                  <w:tcW w:type="dxa" w:w="1900"/>
                  <w:tcMar>
                    <w:top w:type="dxa" w:w="100"/>
                    <w:left w:type="dxa" w:w="120"/>
                    <w:bottom w:type="dxa" w:w="100"/>
                    <w:right w:type="dxa" w:w="120"/>
                  </w:tcMar>
                  <w:vAlign w:val="center"/>
                </w:tcPr>
                <w:p>
                  <w:r>
                    <w:rPr>
                      <w:b w:val="false"/>
                      <w:bCs w:val="false"/>
                      <w:color w:val="1F2937"/>
                      <w:sz w:val="19"/>
                      <w:szCs w:val="19"/>
                    </w:rPr>
                    <w:t xml:space="preserve">Nee</w:t>
                  </w:r>
                </w:p>
              </w:tc>
              <w:tc>
                <w:tcPr>
                  <w:tcW w:type="dxa" w:w="4338"/>
                  <w:tcMar>
                    <w:top w:type="dxa" w:w="100"/>
                    <w:left w:type="dxa" w:w="120"/>
                    <w:bottom w:type="dxa" w:w="100"/>
                    <w:right w:type="dxa" w:w="120"/>
                  </w:tcMar>
                  <w:vAlign w:val="center"/>
                </w:tcPr>
                <w:p>
                  <w:r>
                    <w:rPr>
                      <w:b w:val="false"/>
                      <w:bCs w:val="false"/>
                      <w:color w:val="1F2937"/>
                      <w:sz w:val="19"/>
                      <w:szCs w:val="19"/>
                    </w:rPr>
                    <w:t xml:space="preserve">Detailontwerp / UX.</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11</w:t>
                  </w:r>
                </w:p>
              </w:tc>
              <w:tc>
                <w:tcPr>
                  <w:tcW w:type="dxa" w:w="2000"/>
                  <w:tcMar>
                    <w:top w:type="dxa" w:w="100"/>
                    <w:left w:type="dxa" w:w="120"/>
                    <w:bottom w:type="dxa" w:w="100"/>
                    <w:right w:type="dxa" w:w="120"/>
                  </w:tcMar>
                  <w:vAlign w:val="center"/>
                </w:tcPr>
                <w:p>
                  <w:r>
                    <w:rPr>
                      <w:b w:val="false"/>
                      <w:bCs w:val="false"/>
                      <w:color w:val="1F2937"/>
                      <w:sz w:val="19"/>
                      <w:szCs w:val="19"/>
                    </w:rPr>
                    <w:t xml:space="preserve">4</w:t>
                  </w:r>
                </w:p>
              </w:tc>
              <w:tc>
                <w:tcPr>
                  <w:tcW w:type="dxa" w:w="1900"/>
                  <w:tcMar>
                    <w:top w:type="dxa" w:w="100"/>
                    <w:left w:type="dxa" w:w="120"/>
                    <w:bottom w:type="dxa" w:w="100"/>
                    <w:right w:type="dxa" w:w="120"/>
                  </w:tcMar>
                  <w:vAlign w:val="center"/>
                </w:tcPr>
                <w:p>
                  <w:r>
                    <w:rPr>
                      <w:b w:val="false"/>
                      <w:bCs w:val="false"/>
                      <w:color w:val="1F2937"/>
                      <w:sz w:val="19"/>
                      <w:szCs w:val="19"/>
                    </w:rPr>
                    <w:t xml:space="preserve">Ja, zwaar</w:t>
                  </w:r>
                </w:p>
              </w:tc>
              <w:tc>
                <w:tcPr>
                  <w:tcW w:type="dxa" w:w="4338"/>
                  <w:tcMar>
                    <w:top w:type="dxa" w:w="100"/>
                    <w:left w:type="dxa" w:w="120"/>
                    <w:bottom w:type="dxa" w:w="100"/>
                    <w:right w:type="dxa" w:w="120"/>
                  </w:tcMar>
                  <w:vAlign w:val="center"/>
                </w:tcPr>
                <w:p>
                  <w:r>
                    <w:rPr>
                      <w:b w:val="false"/>
                      <w:bCs w:val="false"/>
                      <w:color w:val="1F2937"/>
                      <w:sz w:val="19"/>
                      <w:szCs w:val="19"/>
                    </w:rPr>
                    <w:t xml:space="preserve">Elf implementaties van hetzelfde autorisatiemodel is B7 in zuivere vorm; elke wijziging kost elf aanpassingen.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12</w:t>
                  </w:r>
                </w:p>
              </w:tc>
              <w:tc>
                <w:tcPr>
                  <w:tcW w:type="dxa" w:w="2000"/>
                  <w:tcMar>
                    <w:top w:type="dxa" w:w="100"/>
                    <w:left w:type="dxa" w:w="120"/>
                    <w:bottom w:type="dxa" w:w="100"/>
                    <w:right w:type="dxa" w:w="120"/>
                  </w:tcMar>
                  <w:vAlign w:val="center"/>
                </w:tcPr>
                <w:p>
                  <w:r>
                    <w:rPr>
                      <w:b w:val="false"/>
                      <w:bCs w:val="false"/>
                      <w:color w:val="1F2937"/>
                      <w:sz w:val="19"/>
                      <w:szCs w:val="19"/>
                    </w:rPr>
                    <w:t xml:space="preserve">3–4</w:t>
                  </w:r>
                </w:p>
              </w:tc>
              <w:tc>
                <w:tcPr>
                  <w:tcW w:type="dxa" w:w="1900"/>
                  <w:tcMar>
                    <w:top w:type="dxa" w:w="100"/>
                    <w:left w:type="dxa" w:w="120"/>
                    <w:bottom w:type="dxa" w:w="100"/>
                    <w:right w:type="dxa" w:w="120"/>
                  </w:tcMar>
                  <w:vAlign w:val="center"/>
                </w:tcPr>
                <w:p>
                  <w:r>
                    <w:rPr>
                      <w:b w:val="false"/>
                      <w:bCs w:val="false"/>
                      <w:color w:val="1F2937"/>
                      <w:sz w:val="19"/>
                      <w:szCs w:val="19"/>
                    </w:rPr>
                    <w:t xml:space="preserve">Ja</w:t>
                  </w:r>
                </w:p>
              </w:tc>
              <w:tc>
                <w:tcPr>
                  <w:tcW w:type="dxa" w:w="4338"/>
                  <w:tcMar>
                    <w:top w:type="dxa" w:w="100"/>
                    <w:left w:type="dxa" w:w="120"/>
                    <w:bottom w:type="dxa" w:w="100"/>
                    <w:right w:type="dxa" w:w="120"/>
                  </w:tcMar>
                  <w:vAlign w:val="center"/>
                </w:tcPr>
                <w:p>
                  <w:r>
                    <w:rPr>
                      <w:b w:val="false"/>
                      <w:bCs w:val="false"/>
                      <w:color w:val="1F2937"/>
                      <w:sz w:val="19"/>
                      <w:szCs w:val="19"/>
                    </w:rPr>
                    <w:t xml:space="preserve">En het is de beslissing die B4 zichtbaar maakt: als alles tegelijk wordt gedeployd, wordt de belangrijkste baat van onafhankelijke services niet geïncasseerd, terwijl de kosten wel worden betaald.</w:t>
                  </w:r>
                </w:p>
              </w:tc>
            </w:tr>
          </w:tbl>
          <w:p>
            <w:pPr>
              <w:spacing w:after="300"/>
            </w:pPr>
          </w:p>
          <w:p>
            <w:pPr>
              <w:spacing w:after="160" w:line="276"/>
            </w:pPr>
            <w:r>
              <w:rPr>
                <w:b/>
                <w:bCs/>
                <w:color w:val="1F2937"/>
                <w:sz w:val="22"/>
                <w:szCs w:val="22"/>
              </w:rPr>
              <w:t xml:space="preserve">Koppeling aan bevindingen (voorbeeld): </w:t>
            </w:r>
            <w:r>
              <w:rPr>
                <w:color w:val="1F2937"/>
                <w:sz w:val="22"/>
                <w:szCs w:val="22"/>
              </w:rPr>
              <w:t xml:space="preserve">1 → B1 en B5; 3 → B1 en B3; 6 → B1; 7, 9, 11 → B7; 12 → B4.</w:t>
            </w:r>
          </w:p>
          <w:p>
            <w:pPr>
              <w:spacing w:after="160" w:line="276"/>
            </w:pPr>
            <w:r>
              <w:rPr>
                <w:b/>
                <w:bCs/>
                <w:color w:val="1F2937"/>
                <w:sz w:val="22"/>
                <w:szCs w:val="22"/>
              </w:rPr>
              <w:t xml:space="preserve">Waar het bij deze opdracht om gaat: </w:t>
            </w:r>
            <w:r>
              <w:rPr>
                <w:color w:val="1F2937"/>
                <w:sz w:val="22"/>
                <w:szCs w:val="22"/>
              </w:rPr>
              <w:t xml:space="preserve">niet de score, maar de constatering dat zeven van de twaalf beslissingen significant zijn en dat geen enkele als beslissing is vastgelegd. Beslissing 8 is bovendien nuttig omdat hij laat zien dat “significant” niet hetzelfde is als “moeilijk” — een onomstreden beslissing is nog steeds een beslissing.</w:t>
            </w:r>
          </w:p>
        </w:tc>
      </w:tr>
    </w:tbl>
    <w:p>
      <w:pPr>
        <w:spacing w:after="300"/>
      </w:pPr>
    </w:p>
    <w:p>
      <w:pPr>
        <w:pStyle w:val="Heading1"/>
        <w:pBdr>
          <w:bottom w:val="single" w:color="E5E7EB" w:sz="6" w:space="6"/>
        </w:pBdr>
        <w:spacing w:after="180" w:before="380"/>
      </w:pPr>
      <w:r>
        <w:rPr>
          <w:b/>
          <w:bCs/>
          <w:color w:val="1F3A5F"/>
          <w:sz w:val="30"/>
          <w:szCs w:val="30"/>
        </w:rPr>
        <w:t xml:space="preserve">Opdracht 1.3 — De bevindingen ordenen (groepen van vier, 30 minuten)</w:t>
      </w:r>
    </w:p>
    <w:p>
      <w:pPr>
        <w:spacing w:after="160" w:line="276"/>
      </w:pPr>
      <w:r>
        <w:rPr>
          <w:color w:val="1F2937"/>
          <w:sz w:val="22"/>
          <w:szCs w:val="22"/>
        </w:rPr>
        <w:t xml:space="preserve">De zeven bevindingen uit de post-mortem staan naast elkaar, maar ze zijn niet even zwaar en ze staan niet los van elkaar.</w:t>
      </w:r>
    </w:p>
    <w:p>
      <w:pPr>
        <w:pStyle w:val="ListParagraph"/>
        <w:numPr>
          <w:ilvl w:val="0"/>
          <w:numId w:val="2"/>
        </w:numPr>
        <w:spacing w:after="100"/>
      </w:pPr>
      <w:r>
        <w:rPr>
          <w:b/>
          <w:bCs/>
          <w:color w:val="1F2937"/>
          <w:sz w:val="22"/>
          <w:szCs w:val="22"/>
        </w:rPr>
        <w:t xml:space="preserve">a)</w:t>
      </w:r>
      <w:r>
        <w:rPr>
          <w:color w:val="1F2937"/>
          <w:sz w:val="22"/>
          <w:szCs w:val="22"/>
        </w:rPr>
        <w:t xml:space="preserve"> Rangschik B1 tot en met B7 naar impact op het uiteindelijke vastlopen, van grootst naar kleinst. Motiveer de bovenste twee en de onderste.</w:t>
      </w:r>
    </w:p>
    <w:p>
      <w:pPr>
        <w:pStyle w:val="ListParagraph"/>
        <w:numPr>
          <w:ilvl w:val="0"/>
          <w:numId w:val="2"/>
        </w:numPr>
        <w:spacing w:after="100"/>
      </w:pPr>
      <w:r>
        <w:rPr>
          <w:b/>
          <w:bCs/>
          <w:color w:val="1F2937"/>
          <w:sz w:val="22"/>
          <w:szCs w:val="22"/>
        </w:rPr>
        <w:t xml:space="preserve">b)</w:t>
      </w:r>
      <w:r>
        <w:rPr>
          <w:color w:val="1F2937"/>
          <w:sz w:val="22"/>
          <w:szCs w:val="22"/>
        </w:rPr>
        <w:t xml:space="preserve"> Teken de oorzaak-gevolgrelaties tussen de bevindingen. Welke bevinding is een oorzaak van welke andere? Er is minstens één bevinding die grotendeels de andere verklaart — welke, volgens uw groep?</w:t>
      </w:r>
    </w:p>
    <w:p>
      <w:pPr>
        <w:pStyle w:val="ListParagraph"/>
        <w:numPr>
          <w:ilvl w:val="0"/>
          <w:numId w:val="2"/>
        </w:numPr>
        <w:spacing w:after="100"/>
      </w:pPr>
      <w:r>
        <w:rPr>
          <w:b/>
          <w:bCs/>
          <w:color w:val="1F2937"/>
          <w:sz w:val="22"/>
          <w:szCs w:val="22"/>
        </w:rPr>
        <w:t xml:space="preserve">c)</w:t>
      </w:r>
      <w:r>
        <w:rPr>
          <w:color w:val="1F2937"/>
          <w:sz w:val="22"/>
          <w:szCs w:val="22"/>
        </w:rPr>
        <w:t xml:space="preserve"> Stel: u had bij aanvang van Mutatie 1.0 één ding mogen afdwingen — één document, één rol, één afspraak, één activiteit. Wat kiest u, en welke bevindingen zou dat naar verwachting hebben voorkomen? Wat blijft er staan?</w:t>
      </w:r>
    </w:p>
    <w:p>
      <w:pPr>
        <w:spacing w:after="160" w:line="276"/>
      </w:pPr>
      <w:r>
        <w:rPr>
          <w:color w:val="1F2937"/>
          <w:sz w:val="22"/>
          <w:szCs w:val="22"/>
        </w:rPr>
        <w:t xml:space="preserve">Presenteer b) en c) plenair in maximaal drie minuten per groep.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w:t>
            </w:r>
          </w:p>
          <w:p>
            <w:pPr>
              <w:spacing w:after="80"/>
            </w:pPr>
          </w:p>
          <w:p>
            <w:pPr>
              <w:spacing w:after="160" w:line="276"/>
            </w:pPr>
            <w:r>
              <w:rPr>
                <w:b/>
                <w:bCs/>
                <w:color w:val="1F2937"/>
                <w:sz w:val="22"/>
                <w:szCs w:val="22"/>
              </w:rPr>
              <w:t xml:space="preserve">a) Rangschikking. </w:t>
            </w:r>
            <w:r>
              <w:rPr>
                <w:color w:val="1F2937"/>
                <w:sz w:val="22"/>
                <w:szCs w:val="22"/>
              </w:rPr>
              <w:t xml:space="preserve">De meest verdedigbare volgorde zet B1 bovenaan, met B2 direct daarna. B1 is de metabevinding: hij verklaart waarom B3 tot en met B7 konden ontstaan zonder dat iemand ingreep. B2 staat direct daaronder omdat zonder geoperationaliseerde kwaliteitseisen elke structuurkeuze arbitrair is en niets aantoonbaar fout kan zijn.</w:t>
            </w:r>
          </w:p>
          <w:p>
            <w:pPr>
              <w:spacing w:after="160" w:line="276"/>
            </w:pPr>
            <w:r>
              <w:rPr>
                <w:color w:val="1F2937"/>
                <w:sz w:val="22"/>
                <w:szCs w:val="22"/>
              </w:rPr>
              <w:t xml:space="preserve">Onderaan staat doorgaans B6, en dat is een instructieve discussie. Kennisverlies bij vertrek is een symptoom van B1: als de beslissingen waren vastgelegd, was de leadontwikkelaar minder onvervangbaar geweest. Groepen die B6 hoog zetten, verwarren vaak de zichtbaarheid van de schade (zes weken stilstand, goed meetbaar) met de omvang van de oorzaak.</w:t>
            </w:r>
          </w:p>
          <w:p>
            <w:pPr>
              <w:spacing w:after="160" w:line="276"/>
            </w:pPr>
            <w:r>
              <w:rPr>
                <w:b/>
                <w:bCs/>
                <w:color w:val="1F2937"/>
                <w:sz w:val="22"/>
                <w:szCs w:val="22"/>
              </w:rPr>
              <w:t xml:space="preserve">b) Oorzaak-gevolg. </w:t>
            </w:r>
            <w:r>
              <w:rPr>
                <w:color w:val="1F2937"/>
                <w:sz w:val="22"/>
                <w:szCs w:val="22"/>
              </w:rPr>
              <w:t xml:space="preserve">Een verdedigbaar schema:</w:t>
            </w:r>
          </w:p>
          <w:p>
            <w:pPr>
              <w:pStyle w:val="ListParagraph"/>
              <w:numPr>
                <w:ilvl w:val="0"/>
                <w:numId w:val="2"/>
              </w:numPr>
              <w:spacing w:after="100"/>
            </w:pPr>
            <w:r>
              <w:rPr>
                <w:color w:val="1F2937"/>
                <w:sz w:val="22"/>
                <w:szCs w:val="22"/>
              </w:rPr>
              <w:t xml:space="preserve">B1 is de wortel. Uit B1 volgen B3, B4, B6 en B7 vrijwel rechtstreeks: zonder expliciete architectuur is er geen kader dat verantwoordelijkheidsverdeling, stijlkeuze, overdraagbaarheid en uniforme cross-cutting oplossingen afdwingt.</w:t>
            </w:r>
          </w:p>
          <w:p>
            <w:pPr>
              <w:pStyle w:val="ListParagraph"/>
              <w:numPr>
                <w:ilvl w:val="0"/>
                <w:numId w:val="2"/>
              </w:numPr>
              <w:spacing w:after="100"/>
            </w:pPr>
            <w:r>
              <w:rPr>
                <w:color w:val="1F2937"/>
                <w:sz w:val="22"/>
                <w:szCs w:val="22"/>
              </w:rPr>
              <w:t xml:space="preserve">B2 staat naast B1, niet eronder. Ook mét een expliciete architectuur kunnen kwaliteitseisen ongeoperationaliseerd blijven — dat gebeurt in de praktijk voortdurend.</w:t>
            </w:r>
          </w:p>
          <w:p>
            <w:pPr>
              <w:pStyle w:val="ListParagraph"/>
              <w:numPr>
                <w:ilvl w:val="0"/>
                <w:numId w:val="2"/>
              </w:numPr>
              <w:spacing w:after="100"/>
            </w:pPr>
            <w:r>
              <w:rPr>
                <w:color w:val="1F2937"/>
                <w:sz w:val="22"/>
                <w:szCs w:val="22"/>
              </w:rPr>
              <w:t xml:space="preserve">B5 volgt uit B2: wat geen norm heeft, wordt niet gemeten, en wat niet wordt gemeten, wordt te laat gemeten.</w:t>
            </w:r>
          </w:p>
          <w:p>
            <w:pPr>
              <w:pStyle w:val="ListParagraph"/>
              <w:numPr>
                <w:ilvl w:val="0"/>
                <w:numId w:val="2"/>
              </w:numPr>
              <w:spacing w:after="100"/>
            </w:pPr>
            <w:r>
              <w:rPr>
                <w:b/>
                <w:bCs/>
                <w:color w:val="1F2937"/>
                <w:sz w:val="22"/>
                <w:szCs w:val="22"/>
              </w:rPr>
              <w:t xml:space="preserve">B4 heeft naast B1 een tweede, onafhankelijke oorzaak: </w:t>
            </w:r>
            <w:r>
              <w:rPr>
                <w:color w:val="1F2937"/>
                <w:sz w:val="22"/>
                <w:szCs w:val="22"/>
              </w:rPr>
              <w:t xml:space="preserve">standaardgedrag van de leverancier. Dat maakt B4 de enige bevinding die ook bij een expliciete architectuur had kunnen optreden — namelijk als de architect diezelfde gewoonte had gevolgd zonder de afweging te maken. Dat is precies de valkuil die deel 5 behandelt.</w:t>
            </w:r>
          </w:p>
          <w:p>
            <w:pPr>
              <w:spacing w:after="160" w:line="276"/>
            </w:pPr>
            <w:r>
              <w:rPr>
                <w:b/>
                <w:bCs/>
                <w:color w:val="1F2937"/>
                <w:sz w:val="22"/>
                <w:szCs w:val="22"/>
              </w:rPr>
              <w:t xml:space="preserve">c) Eén ding afdwingen. </w:t>
            </w:r>
            <w:r>
              <w:rPr>
                <w:color w:val="1F2937"/>
                <w:sz w:val="22"/>
                <w:szCs w:val="22"/>
              </w:rPr>
              <w:t xml:space="preserve">De drie antwoorden die het vaakst komen, met hun werkelijke reikwijdte:</w:t>
            </w:r>
          </w:p>
          <w:p>
            <w:pPr>
              <w:pStyle w:val="ListParagraph"/>
              <w:numPr>
                <w:ilvl w:val="0"/>
                <w:numId w:val="2"/>
              </w:numPr>
              <w:spacing w:after="100"/>
            </w:pPr>
            <w:r>
              <w:rPr>
                <w:b/>
                <w:bCs/>
                <w:color w:val="1F2937"/>
                <w:sz w:val="22"/>
                <w:szCs w:val="22"/>
              </w:rPr>
              <w:t xml:space="preserve">Een architect benoemen.</w:t>
            </w:r>
            <w:r>
              <w:rPr>
                <w:color w:val="1F2937"/>
                <w:sz w:val="22"/>
                <w:szCs w:val="22"/>
              </w:rPr>
              <w:t xml:space="preserve"> Adresseert B1 en indirect B3, B4, B6, B7 — maar alleen als die architect mandaat heeft. Laat B2 en B5 open: architecten laten kwaliteitseisen ook geregeld ongeoperationaliseerd.</w:t>
            </w:r>
          </w:p>
          <w:p>
            <w:pPr>
              <w:pStyle w:val="ListParagraph"/>
              <w:numPr>
                <w:ilvl w:val="0"/>
                <w:numId w:val="2"/>
              </w:numPr>
              <w:spacing w:after="100"/>
            </w:pPr>
            <w:r>
              <w:rPr>
                <w:b/>
                <w:bCs/>
                <w:color w:val="1F2937"/>
                <w:sz w:val="22"/>
                <w:szCs w:val="22"/>
              </w:rPr>
              <w:t xml:space="preserve">Kwaliteitsscenario's in de aanbesteding.</w:t>
            </w:r>
            <w:r>
              <w:rPr>
                <w:color w:val="1F2937"/>
                <w:sz w:val="22"/>
                <w:szCs w:val="22"/>
              </w:rPr>
              <w:t xml:space="preserve"> Adresseert B2 en B5 hard, en oefent indirect druk op B4 (want dan moet de stijlkeuze verantwoord worden tegen meetbare eisen). Laat B1, B6 en B7 grotendeels open.</w:t>
            </w:r>
          </w:p>
          <w:p>
            <w:pPr>
              <w:pStyle w:val="ListParagraph"/>
              <w:numPr>
                <w:ilvl w:val="0"/>
                <w:numId w:val="2"/>
              </w:numPr>
              <w:spacing w:after="100"/>
            </w:pPr>
            <w:r>
              <w:rPr>
                <w:b/>
                <w:bCs/>
                <w:color w:val="1F2937"/>
                <w:sz w:val="22"/>
                <w:szCs w:val="22"/>
              </w:rPr>
              <w:t xml:space="preserve">Verplichte ADR's.</w:t>
            </w:r>
            <w:r>
              <w:rPr>
                <w:color w:val="1F2937"/>
                <w:sz w:val="22"/>
                <w:szCs w:val="22"/>
              </w:rPr>
              <w:t xml:space="preserve"> Adresseert B1 en B6 direct en maakt B3, B4 en B7 zichtbaar zodra ze ontstaan — maar dwingt ze niet af, want een slechte beslissing kan keurig vastgelegd worden.</w:t>
            </w:r>
          </w:p>
          <w:p>
            <w:pPr>
              <w:spacing w:after="160" w:line="276"/>
            </w:pPr>
            <w:r>
              <w:rPr>
                <w:color w:val="1F2937"/>
                <w:sz w:val="22"/>
                <w:szCs w:val="22"/>
              </w:rPr>
              <w:t xml:space="preserve">De nuttige conclusie is dat geen enkele losse maatregel meer dan ongeveer de helft afdekt. Dit is het argument voor de opbouw van het niveau: de bevindingen zijn niet met één ingreep te sluiten.</w:t>
            </w:r>
          </w:p>
        </w:tc>
      </w:tr>
    </w:tbl>
    <w:p>
      <w:pPr>
        <w:spacing w:after="300"/>
      </w:pPr>
    </w:p>
    <w:p>
      <w:pPr>
        <w:pStyle w:val="Heading1"/>
        <w:pBdr>
          <w:bottom w:val="single" w:color="E5E7EB" w:sz="6" w:space="6"/>
        </w:pBdr>
        <w:spacing w:after="180" w:before="380"/>
      </w:pPr>
      <w:r>
        <w:rPr>
          <w:b/>
          <w:bCs/>
          <w:color w:val="1F3A5F"/>
          <w:sz w:val="30"/>
          <w:szCs w:val="30"/>
        </w:rPr>
        <w:t xml:space="preserve">Opdracht 1.4 — De rolvraag (rollenspel, 25 minuten)</w:t>
      </w:r>
    </w:p>
    <w:p>
      <w:pPr>
        <w:spacing w:after="160" w:line="276"/>
      </w:pPr>
      <w:r>
        <w:rPr>
          <w:color w:val="1F2937"/>
          <w:sz w:val="22"/>
          <w:szCs w:val="22"/>
        </w:rPr>
        <w:t xml:space="preserve">Meridiaan wil bij de herstart van het programma een architect benoemen. In de stuurgroep leven drie posities. Verdeel de rollen; elke rol krijgt vijf minuten om zijn positie te bepleiten, daarna tien minuten discussie en een besluit.</w:t>
      </w:r>
    </w:p>
    <w:p>
      <w:pPr>
        <w:pStyle w:val="ListParagraph"/>
        <w:numPr>
          <w:ilvl w:val="0"/>
          <w:numId w:val="2"/>
        </w:numPr>
        <w:spacing w:after="100"/>
      </w:pPr>
      <w:r>
        <w:rPr>
          <w:b/>
          <w:bCs/>
          <w:color w:val="1F2937"/>
          <w:sz w:val="22"/>
          <w:szCs w:val="22"/>
        </w:rPr>
        <w:t xml:space="preserve">Rol A — Directeur IT.</w:t>
      </w:r>
      <w:r>
        <w:rPr>
          <w:color w:val="1F2937"/>
          <w:sz w:val="22"/>
          <w:szCs w:val="22"/>
        </w:rPr>
        <w:t xml:space="preserve"> Wil één architect voor het hele programma, die kaders stelt en toetst en niet in de teams meedraait. Argument: schaarste, overzicht, onafhankelijkheid van de teams.</w:t>
      </w:r>
    </w:p>
    <w:p>
      <w:pPr>
        <w:pStyle w:val="ListParagraph"/>
        <w:numPr>
          <w:ilvl w:val="0"/>
          <w:numId w:val="2"/>
        </w:numPr>
        <w:spacing w:after="100"/>
      </w:pPr>
      <w:r>
        <w:rPr>
          <w:b/>
          <w:bCs/>
          <w:color w:val="1F2937"/>
          <w:sz w:val="22"/>
          <w:szCs w:val="22"/>
        </w:rPr>
        <w:t xml:space="preserve">Rol B — Teamlead ontwikkeling.</w:t>
      </w:r>
      <w:r>
        <w:rPr>
          <w:color w:val="1F2937"/>
          <w:sz w:val="22"/>
          <w:szCs w:val="22"/>
        </w:rPr>
        <w:t xml:space="preserve"> Wil geen aparte architectrol maar architectuur beleggen bij de senior ontwikkelaars in de teams. Argument: de vorige keer ging het mis door afstand tussen beslissen en bouwen; een externe kaderstellende laag vertraagt.</w:t>
      </w:r>
    </w:p>
    <w:p>
      <w:pPr>
        <w:pStyle w:val="ListParagraph"/>
        <w:numPr>
          <w:ilvl w:val="0"/>
          <w:numId w:val="2"/>
        </w:numPr>
        <w:spacing w:after="100"/>
      </w:pPr>
      <w:r>
        <w:rPr>
          <w:b/>
          <w:bCs/>
          <w:color w:val="1F2937"/>
          <w:sz w:val="22"/>
          <w:szCs w:val="22"/>
        </w:rPr>
        <w:t xml:space="preserve">Rol C — Product owner.</w:t>
      </w:r>
      <w:r>
        <w:rPr>
          <w:color w:val="1F2937"/>
          <w:sz w:val="22"/>
          <w:szCs w:val="22"/>
        </w:rPr>
        <w:t xml:space="preserve"> Wil een architect die deel uitmaakt van het team en meedraait in refinements, maar met een expliciet mandaat om systeembrede beslissingen vast te leggen. Argument: kwaliteitseisen komen anders nooit op de backlog.</w:t>
      </w:r>
    </w:p>
    <w:p>
      <w:pPr>
        <w:pStyle w:val="ListParagraph"/>
        <w:numPr>
          <w:ilvl w:val="0"/>
          <w:numId w:val="2"/>
        </w:numPr>
        <w:spacing w:after="100"/>
      </w:pPr>
      <w:r>
        <w:rPr>
          <w:b/>
          <w:bCs/>
          <w:color w:val="1F2937"/>
          <w:sz w:val="22"/>
          <w:szCs w:val="22"/>
        </w:rPr>
        <w:t xml:space="preserve">Observator (één per groep).</w:t>
      </w:r>
      <w:r>
        <w:rPr>
          <w:color w:val="1F2937"/>
          <w:sz w:val="22"/>
          <w:szCs w:val="22"/>
        </w:rPr>
        <w:t xml:space="preserve"> Noteer welke van de vijf kerntaken uit paragraaf 1.6 in de discussie onbesproken blijven. Rapporteer dat als eerste bij de nabespreking.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1.4</w:t>
            </w:r>
          </w:p>
          <w:p>
            <w:pPr>
              <w:spacing w:after="80"/>
            </w:pPr>
          </w:p>
          <w:p>
            <w:pPr>
              <w:spacing w:after="160" w:line="276"/>
            </w:pPr>
            <w:r>
              <w:rPr>
                <w:color w:val="1F2937"/>
                <w:sz w:val="22"/>
                <w:szCs w:val="22"/>
              </w:rPr>
              <w:t xml:space="preserve">Er is geen goed antwoord; het besluit dat de groep neemt is minder interessant dan de argumenten. Let bij de nabespreking op vier dingen:</w:t>
            </w:r>
          </w:p>
          <w:p>
            <w:pPr>
              <w:pStyle w:val="ListParagraph"/>
              <w:numPr>
                <w:ilvl w:val="0"/>
                <w:numId w:val="2"/>
              </w:numPr>
              <w:spacing w:after="100"/>
            </w:pPr>
            <w:r>
              <w:rPr>
                <w:b/>
                <w:bCs/>
                <w:color w:val="1F2937"/>
                <w:sz w:val="22"/>
                <w:szCs w:val="22"/>
              </w:rPr>
              <w:t xml:space="preserve">De vals gestelde keuze.</w:t>
            </w:r>
            <w:r>
              <w:rPr>
                <w:color w:val="1F2937"/>
                <w:sz w:val="22"/>
                <w:szCs w:val="22"/>
              </w:rPr>
              <w:t xml:space="preserve"> A, B en C worden vaak behandeld als “wel of geen architect”. Dat is het niet. Alle drie beleggen de kerntaken; ze verschillen in waar het mandaat ligt en hoeveel afstand er is. De vruchtbare vraag is niet wie gelijk heeft maar welke taak bij welke positie onvoldoende belegd raakt.</w:t>
            </w:r>
          </w:p>
          <w:p>
            <w:pPr>
              <w:pStyle w:val="ListParagraph"/>
              <w:numPr>
                <w:ilvl w:val="0"/>
                <w:numId w:val="2"/>
              </w:numPr>
              <w:spacing w:after="100"/>
            </w:pPr>
            <w:r>
              <w:rPr>
                <w:b/>
                <w:bCs/>
                <w:color w:val="1F2937"/>
                <w:sz w:val="22"/>
                <w:szCs w:val="22"/>
              </w:rPr>
              <w:t xml:space="preserve">Wat B goed ziet.</w:t>
            </w:r>
            <w:r>
              <w:rPr>
                <w:color w:val="1F2937"/>
                <w:sz w:val="22"/>
                <w:szCs w:val="22"/>
              </w:rPr>
              <w:t xml:space="preserve"> De teamlead heeft een reëel punt: Mutatie 1.0 liep niet vast door te weinig afstand tussen beslissen en bouwen, maar door te weinig samenhang. Positie A lost dat niet automatisch op en introduceert een nieuw risico (kaders zonder voeling).</w:t>
            </w:r>
          </w:p>
          <w:p>
            <w:pPr>
              <w:pStyle w:val="ListParagraph"/>
              <w:numPr>
                <w:ilvl w:val="0"/>
                <w:numId w:val="2"/>
              </w:numPr>
              <w:spacing w:after="100"/>
            </w:pPr>
            <w:r>
              <w:rPr>
                <w:b/>
                <w:bCs/>
                <w:color w:val="1F2937"/>
                <w:sz w:val="22"/>
                <w:szCs w:val="22"/>
              </w:rPr>
              <w:t xml:space="preserve">Wat B mist.</w:t>
            </w:r>
            <w:r>
              <w:rPr>
                <w:color w:val="1F2937"/>
                <w:sz w:val="22"/>
                <w:szCs w:val="22"/>
              </w:rPr>
              <w:t xml:space="preserve"> Architectuur beleggen bij senior ontwikkelaars per team is precies wat Mutatie 1.0 deed. Zonder een expliciet mechanisme voor systeembrede beslissingen levert het opnieuw B3, B4 en B7 op. B wordt pas verdedigbaar met zo'n mechanisme erbij — bijvoorbeeld een architectuurgilde met beslisbevoegdheid.</w:t>
            </w:r>
          </w:p>
          <w:p>
            <w:pPr>
              <w:pStyle w:val="ListParagraph"/>
              <w:numPr>
                <w:ilvl w:val="0"/>
                <w:numId w:val="2"/>
              </w:numPr>
              <w:spacing w:after="100"/>
            </w:pPr>
            <w:r>
              <w:rPr>
                <w:b/>
                <w:bCs/>
                <w:color w:val="1F2937"/>
                <w:sz w:val="22"/>
                <w:szCs w:val="22"/>
              </w:rPr>
              <w:t xml:space="preserve">Wat de observator meestal rapporteert.</w:t>
            </w:r>
            <w:r>
              <w:rPr>
                <w:color w:val="1F2937"/>
                <w:sz w:val="22"/>
                <w:szCs w:val="22"/>
              </w:rPr>
              <w:t xml:space="preserve"> In vrijwel elke groep blijven twee kerntaken onbesproken: realisatie begeleiden en kwaliteit toetsen. De discussie gaat bijna altijd over beslissen en over kaders. Dat is dezelfde blinde vlek als in Mutatie 1.0.</w:t>
            </w:r>
          </w:p>
        </w:tc>
      </w:tr>
    </w:tbl>
    <w:p>
      <w:pPr>
        <w:spacing w:after="300"/>
      </w:pPr>
    </w:p>
    <w:p>
      <w:pPr>
        <w:pStyle w:val="Heading1"/>
        <w:pBdr>
          <w:bottom w:val="single" w:color="E5E7EB" w:sz="6" w:space="6"/>
        </w:pBdr>
        <w:spacing w:after="180" w:before="380"/>
      </w:pPr>
      <w:r>
        <w:rPr>
          <w:b/>
          <w:bCs/>
          <w:color w:val="1F3A5F"/>
          <w:sz w:val="30"/>
          <w:szCs w:val="30"/>
        </w:rPr>
        <w:t xml:space="preserve">Opdracht 1.5 — Uw eigen ontstane architectuur (individueel huiswerk, 45 minuten)</w:t>
      </w:r>
    </w:p>
    <w:p>
      <w:pPr>
        <w:spacing w:after="160" w:line="276"/>
      </w:pPr>
      <w:r>
        <w:rPr>
          <w:color w:val="1F2937"/>
          <w:sz w:val="22"/>
          <w:szCs w:val="22"/>
        </w:rPr>
        <w:t xml:space="preserve">Neem opnieuw het systeem uit opdracht 1.1, of een ander systeem uit uw eigen praktijk.</w:t>
      </w:r>
    </w:p>
    <w:p>
      <w:pPr>
        <w:pStyle w:val="ListParagraph"/>
        <w:numPr>
          <w:ilvl w:val="0"/>
          <w:numId w:val="2"/>
        </w:numPr>
        <w:spacing w:after="100"/>
      </w:pPr>
      <w:r>
        <w:rPr>
          <w:b/>
          <w:bCs/>
          <w:color w:val="1F2937"/>
          <w:sz w:val="22"/>
          <w:szCs w:val="22"/>
        </w:rPr>
        <w:t xml:space="preserve">a)</w:t>
      </w:r>
      <w:r>
        <w:rPr>
          <w:color w:val="1F2937"/>
          <w:sz w:val="22"/>
          <w:szCs w:val="22"/>
        </w:rPr>
        <w:t xml:space="preserve"> Noteer drie plekken waar u de kenmerken van ontstane architectuur uit paragraaf 1.7 herkent. Wees concreet: noem het onderdeel, de manier waarop het afwijkt, en wat het kost.</w:t>
      </w:r>
    </w:p>
    <w:p>
      <w:pPr>
        <w:pStyle w:val="ListParagraph"/>
        <w:numPr>
          <w:ilvl w:val="0"/>
          <w:numId w:val="2"/>
        </w:numPr>
        <w:spacing w:after="100"/>
      </w:pPr>
      <w:r>
        <w:rPr>
          <w:b/>
          <w:bCs/>
          <w:color w:val="1F2937"/>
          <w:sz w:val="22"/>
          <w:szCs w:val="22"/>
        </w:rPr>
        <w:t xml:space="preserve">b)</w:t>
      </w:r>
      <w:r>
        <w:rPr>
          <w:color w:val="1F2937"/>
          <w:sz w:val="22"/>
          <w:szCs w:val="22"/>
        </w:rPr>
        <w:t xml:space="preserve"> Zoek voor één van die drie uit hoe de beslissing tot stand is gekomen. Vraag het na als u het niet weet. Noteer: wie besloot, wanneer, met welke informatie, en of er alternatieven zijn overwogen.</w:t>
      </w:r>
    </w:p>
    <w:p>
      <w:pPr>
        <w:pStyle w:val="ListParagraph"/>
        <w:numPr>
          <w:ilvl w:val="0"/>
          <w:numId w:val="2"/>
        </w:numPr>
        <w:spacing w:after="100"/>
      </w:pPr>
      <w:r>
        <w:rPr>
          <w:b/>
          <w:bCs/>
          <w:color w:val="1F2937"/>
          <w:sz w:val="22"/>
          <w:szCs w:val="22"/>
        </w:rPr>
        <w:t xml:space="preserve">c)</w:t>
      </w:r>
      <w:r>
        <w:rPr>
          <w:color w:val="1F2937"/>
          <w:sz w:val="22"/>
          <w:szCs w:val="22"/>
        </w:rPr>
        <w:t xml:space="preserve"> Beantwoord: was deze beslissing op het moment van nemen redelijk? Deze vraag is belangrijker dan hij lijkt. Architectuurkritiek achteraf is goedkoop; de bruikbare vraag is of de beslisser met de kennis van toen anders had kunnen kiezen, en zo ja, wat dat had gevergd.</w:t>
      </w:r>
    </w:p>
    <w:p>
      <w:pPr>
        <w:spacing w:after="160" w:line="276"/>
      </w:pPr>
      <w:r>
        <w:rPr>
          <w:color w:val="1F2937"/>
          <w:sz w:val="22"/>
          <w:szCs w:val="22"/>
        </w:rPr>
        <w:t xml:space="preserve">Neem het resultaat mee naar deel 2; wij gebruiken het bij het formuleren van kwaliteitsscenario's.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1.5</w:t>
            </w:r>
          </w:p>
          <w:p>
            <w:pPr>
              <w:spacing w:after="80"/>
            </w:pPr>
          </w:p>
          <w:p>
            <w:pPr>
              <w:spacing w:after="160" w:line="276"/>
            </w:pPr>
            <w:r>
              <w:rPr>
                <w:color w:val="1F2937"/>
                <w:sz w:val="22"/>
                <w:szCs w:val="22"/>
              </w:rPr>
              <w:t xml:space="preserve">Individueel; geen modelantwoord. Bij de terugkoppeling in deel 2 letten wij op één ding: het antwoord op c). Deelnemers die schrijven dat de beslissing “gewoon fout” was, hebben meestal de context van toen niet opgehaald. De bruikbare antwoorden hebben de vorm: met de informatie die er toen was, was dit een redelijke keuze; wat ontbrak was X, en X was op dat moment tegen aanvaardbare kosten te achterhalen geweest door Y.</w:t>
            </w:r>
          </w:p>
          <w:p>
            <w:pPr>
              <w:spacing w:after="160" w:line="276"/>
            </w:pPr>
            <w:r>
              <w:rPr>
                <w:color w:val="1F2937"/>
                <w:sz w:val="22"/>
                <w:szCs w:val="22"/>
              </w:rPr>
              <w:t xml:space="preserve">Waar X niet tegen aanvaardbare kosten te achterhalen was, hebt u geen fout gevonden maar een risico dat zich heeft gerealiseerd. Dat onderscheid — fout versus gerealiseerd risico — komt in deel 9 terug en is in niveau 3 het onderwerp van een heel deel.</w:t>
            </w:r>
          </w:p>
        </w:tc>
      </w:tr>
    </w:tbl>
    <w:p>
      <w:pPr>
        <w:spacing w:after="300"/>
      </w:pPr>
    </w:p>
    <w:p>
      <w:pPr>
        <w:pStyle w:val="Heading1"/>
        <w:pBdr>
          <w:bottom w:val="single" w:color="E5E7EB" w:sz="6" w:space="6"/>
        </w:pBdr>
        <w:spacing w:after="180" w:before="380"/>
      </w:pPr>
      <w:r>
        <w:rPr>
          <w:b/>
          <w:bCs/>
          <w:color w:val="1F3A5F"/>
          <w:sz w:val="30"/>
          <w:szCs w:val="30"/>
        </w:rPr>
        <w:t xml:space="preserve">Opdracht 1.6 — Start capstonedossier (individueel, 20 minuten)</w:t>
      </w:r>
    </w:p>
    <w:p>
      <w:pPr>
        <w:spacing w:after="160" w:line="276"/>
      </w:pPr>
      <w:r>
        <w:rPr>
          <w:color w:val="1F2937"/>
          <w:sz w:val="22"/>
          <w:szCs w:val="22"/>
        </w:rPr>
        <w:t xml:space="preserve">In deel 10 verdedigt u een architectuurschets voor Mutatie 2.0 tegenover een panel. Uw dossier bouwt u gedurende het hele niveau op. Leg vandaag de eerste twee onderdelen vast.</w:t>
      </w:r>
    </w:p>
    <w:p>
      <w:pPr>
        <w:pStyle w:val="ListParagraph"/>
        <w:numPr>
          <w:ilvl w:val="0"/>
          <w:numId w:val="2"/>
        </w:numPr>
        <w:spacing w:after="100"/>
      </w:pPr>
      <w:r>
        <w:rPr>
          <w:b/>
          <w:bCs/>
          <w:color w:val="1F2937"/>
          <w:sz w:val="22"/>
          <w:szCs w:val="22"/>
        </w:rPr>
        <w:t xml:space="preserve">a) Bevindingenregister.</w:t>
      </w:r>
      <w:r>
        <w:rPr>
          <w:color w:val="1F2937"/>
          <w:sz w:val="22"/>
          <w:szCs w:val="22"/>
        </w:rPr>
        <w:t xml:space="preserve"> Maak een tabel met de zeven bevindingen. Kolommen: bevinding, samenvatting in één zin, “status” (open), “wordt geadresseerd in deel”, “mijn maatregel” (nu nog leeg). U vult deze tabel na elk deel bij. In deel 10 moet elke regel gevuld en verdedigbaar zijn.</w:t>
      </w:r>
    </w:p>
    <w:p>
      <w:pPr>
        <w:pStyle w:val="ListParagraph"/>
        <w:numPr>
          <w:ilvl w:val="0"/>
          <w:numId w:val="2"/>
        </w:numPr>
        <w:spacing w:after="100"/>
      </w:pPr>
      <w:r>
        <w:rPr>
          <w:b/>
          <w:bCs/>
          <w:color w:val="1F2937"/>
          <w:sz w:val="22"/>
          <w:szCs w:val="22"/>
        </w:rPr>
        <w:t xml:space="preserve">b) Positioneringsverklaring.</w:t>
      </w:r>
      <w:r>
        <w:rPr>
          <w:color w:val="1F2937"/>
          <w:sz w:val="22"/>
          <w:szCs w:val="22"/>
        </w:rPr>
        <w:t xml:space="preserve"> Schrijf maximaal 150 woorden waarin u vastlegt wat u vandaag, vóór alle inhoudelijke delen, denkt dat de belangrijkste architectuurkeuze voor Mutatie 2.0 wordt. U mag er volledig naast zitten — dat is de bedoeling. In deel 10 leest u dit terug en licht u toe wat er veranderd is en waardoor.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1.6</w:t>
            </w:r>
          </w:p>
          <w:p>
            <w:pPr>
              <w:spacing w:after="80"/>
            </w:pPr>
          </w:p>
          <w:p>
            <w:pPr>
              <w:spacing w:after="160" w:line="276"/>
            </w:pPr>
            <w:r>
              <w:rPr>
                <w:b/>
                <w:bCs/>
                <w:color w:val="1F2937"/>
                <w:sz w:val="22"/>
                <w:szCs w:val="22"/>
              </w:rPr>
              <w:t xml:space="preserve">a) </w:t>
            </w:r>
            <w:r>
              <w:rPr>
                <w:color w:val="1F2937"/>
                <w:sz w:val="22"/>
                <w:szCs w:val="22"/>
              </w:rPr>
              <w:t xml:space="preserve">Uw register moet na dit deel er ongeveer zo uitzien; alleen de laatste kolom is nog leeg.</w:t>
            </w:r>
          </w:p>
          <w:tbl>
            <w:tblPr>
              <w:tblW w:type="dxa" w:w="78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3600"/>
              <w:gridCol w:w="1000"/>
              <w:gridCol w:w="900"/>
              <w:gridCol w:w="1638"/>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Bevinding</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Kern</w:t>
                  </w:r>
                </w:p>
              </w:tc>
              <w:tc>
                <w:tcPr>
                  <w:tcW w:type="dxa" w:w="1000"/>
                  <w:shd w:fill="1F3A5F" w:val="clear"/>
                  <w:tcMar>
                    <w:top w:type="dxa" w:w="100"/>
                    <w:left w:type="dxa" w:w="120"/>
                    <w:bottom w:type="dxa" w:w="100"/>
                    <w:right w:type="dxa" w:w="120"/>
                  </w:tcMar>
                  <w:vAlign w:val="center"/>
                </w:tcPr>
                <w:p>
                  <w:r>
                    <w:rPr>
                      <w:b/>
                      <w:bCs/>
                      <w:color w:val="FFFFFF"/>
                      <w:sz w:val="19"/>
                      <w:szCs w:val="19"/>
                    </w:rPr>
                    <w:t xml:space="preserve">Status</w:t>
                  </w:r>
                </w:p>
              </w:tc>
              <w:tc>
                <w:tcPr>
                  <w:tcW w:type="dxa" w:w="900"/>
                  <w:shd w:fill="1F3A5F" w:val="clear"/>
                  <w:tcMar>
                    <w:top w:type="dxa" w:w="100"/>
                    <w:left w:type="dxa" w:w="120"/>
                    <w:bottom w:type="dxa" w:w="100"/>
                    <w:right w:type="dxa" w:w="120"/>
                  </w:tcMar>
                  <w:vAlign w:val="center"/>
                </w:tcPr>
                <w:p>
                  <w:r>
                    <w:rPr>
                      <w:b/>
                      <w:bCs/>
                      <w:color w:val="FFFFFF"/>
                      <w:sz w:val="19"/>
                      <w:szCs w:val="19"/>
                    </w:rPr>
                    <w:t xml:space="preserve">Deel</w:t>
                  </w:r>
                </w:p>
              </w:tc>
              <w:tc>
                <w:tcPr>
                  <w:tcW w:type="dxa" w:w="1638"/>
                  <w:shd w:fill="1F3A5F" w:val="clear"/>
                  <w:tcMar>
                    <w:top w:type="dxa" w:w="100"/>
                    <w:left w:type="dxa" w:w="120"/>
                    <w:bottom w:type="dxa" w:w="100"/>
                    <w:right w:type="dxa" w:w="120"/>
                  </w:tcMar>
                  <w:vAlign w:val="center"/>
                </w:tcPr>
                <w:p>
                  <w:r>
                    <w:rPr>
                      <w:b/>
                      <w:bCs/>
                      <w:color w:val="FFFFFF"/>
                      <w:sz w:val="19"/>
                      <w:szCs w:val="19"/>
                    </w:rPr>
                    <w:t xml:space="preserve">Maatregel</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B1</w:t>
                  </w:r>
                </w:p>
              </w:tc>
              <w:tc>
                <w:tcPr>
                  <w:tcW w:type="dxa" w:w="3600"/>
                  <w:tcMar>
                    <w:top w:type="dxa" w:w="100"/>
                    <w:left w:type="dxa" w:w="120"/>
                    <w:bottom w:type="dxa" w:w="100"/>
                    <w:right w:type="dxa" w:w="120"/>
                  </w:tcMar>
                  <w:vAlign w:val="center"/>
                </w:tcPr>
                <w:p>
                  <w:r>
                    <w:rPr>
                      <w:b w:val="false"/>
                      <w:bCs w:val="false"/>
                      <w:color w:val="1F2937"/>
                      <w:sz w:val="19"/>
                      <w:szCs w:val="19"/>
                    </w:rPr>
                    <w:t xml:space="preserve">Geen expliciete architectuur vastgesteld</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1, 7</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B2</w:t>
                  </w:r>
                </w:p>
              </w:tc>
              <w:tc>
                <w:tcPr>
                  <w:tcW w:type="dxa" w:w="3600"/>
                  <w:tcMar>
                    <w:top w:type="dxa" w:w="100"/>
                    <w:left w:type="dxa" w:w="120"/>
                    <w:bottom w:type="dxa" w:w="100"/>
                    <w:right w:type="dxa" w:w="120"/>
                  </w:tcMar>
                  <w:vAlign w:val="center"/>
                </w:tcPr>
                <w:p>
                  <w:r>
                    <w:rPr>
                      <w:b w:val="false"/>
                      <w:bCs w:val="false"/>
                      <w:color w:val="1F2937"/>
                      <w:sz w:val="19"/>
                      <w:szCs w:val="19"/>
                    </w:rPr>
                    <w:t xml:space="preserve">Kwaliteitseisen niet geoperationaliseerd</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2</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B3</w:t>
                  </w:r>
                </w:p>
              </w:tc>
              <w:tc>
                <w:tcPr>
                  <w:tcW w:type="dxa" w:w="3600"/>
                  <w:tcMar>
                    <w:top w:type="dxa" w:w="100"/>
                    <w:left w:type="dxa" w:w="120"/>
                    <w:bottom w:type="dxa" w:w="100"/>
                    <w:right w:type="dxa" w:w="120"/>
                  </w:tcMar>
                  <w:vAlign w:val="center"/>
                </w:tcPr>
                <w:p>
                  <w:r>
                    <w:rPr>
                      <w:b w:val="false"/>
                      <w:bCs w:val="false"/>
                      <w:color w:val="1F2937"/>
                      <w:sz w:val="19"/>
                      <w:szCs w:val="19"/>
                    </w:rPr>
                    <w:t xml:space="preserve">Onbedoelde verwevenheid tussen componenten</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3</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B4</w:t>
                  </w:r>
                </w:p>
              </w:tc>
              <w:tc>
                <w:tcPr>
                  <w:tcW w:type="dxa" w:w="3600"/>
                  <w:tcMar>
                    <w:top w:type="dxa" w:w="100"/>
                    <w:left w:type="dxa" w:w="120"/>
                    <w:bottom w:type="dxa" w:w="100"/>
                    <w:right w:type="dxa" w:w="120"/>
                  </w:tcMar>
                  <w:vAlign w:val="center"/>
                </w:tcPr>
                <w:p>
                  <w:r>
                    <w:rPr>
                      <w:b w:val="false"/>
                      <w:bCs w:val="false"/>
                      <w:color w:val="1F2937"/>
                      <w:sz w:val="19"/>
                      <w:szCs w:val="19"/>
                    </w:rPr>
                    <w:t xml:space="preserve">Stijlkeuze niet passend bij het probleem</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4, 5</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B5</w:t>
                  </w:r>
                </w:p>
              </w:tc>
              <w:tc>
                <w:tcPr>
                  <w:tcW w:type="dxa" w:w="3600"/>
                  <w:tcMar>
                    <w:top w:type="dxa" w:w="100"/>
                    <w:left w:type="dxa" w:w="120"/>
                    <w:bottom w:type="dxa" w:w="100"/>
                    <w:right w:type="dxa" w:w="120"/>
                  </w:tcMar>
                  <w:vAlign w:val="center"/>
                </w:tcPr>
                <w:p>
                  <w:r>
                    <w:rPr>
                      <w:b w:val="false"/>
                      <w:bCs w:val="false"/>
                      <w:color w:val="1F2937"/>
                      <w:sz w:val="19"/>
                      <w:szCs w:val="19"/>
                    </w:rPr>
                    <w:t xml:space="preserve">Kwaliteit pas aan het eind gemeten</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6, 9</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B6</w:t>
                  </w:r>
                </w:p>
              </w:tc>
              <w:tc>
                <w:tcPr>
                  <w:tcW w:type="dxa" w:w="3600"/>
                  <w:tcMar>
                    <w:top w:type="dxa" w:w="100"/>
                    <w:left w:type="dxa" w:w="120"/>
                    <w:bottom w:type="dxa" w:w="100"/>
                    <w:right w:type="dxa" w:w="120"/>
                  </w:tcMar>
                  <w:vAlign w:val="center"/>
                </w:tcPr>
                <w:p>
                  <w:r>
                    <w:rPr>
                      <w:b w:val="false"/>
                      <w:bCs w:val="false"/>
                      <w:color w:val="1F2937"/>
                      <w:sz w:val="19"/>
                      <w:szCs w:val="19"/>
                    </w:rPr>
                    <w:t xml:space="preserve">Kennis niet overdraagbaar vastgelegd</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7</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B7</w:t>
                  </w:r>
                </w:p>
              </w:tc>
              <w:tc>
                <w:tcPr>
                  <w:tcW w:type="dxa" w:w="3600"/>
                  <w:tcMar>
                    <w:top w:type="dxa" w:w="100"/>
                    <w:left w:type="dxa" w:w="120"/>
                    <w:bottom w:type="dxa" w:w="100"/>
                    <w:right w:type="dxa" w:w="120"/>
                  </w:tcMar>
                  <w:vAlign w:val="center"/>
                </w:tcPr>
                <w:p>
                  <w:r>
                    <w:rPr>
                      <w:b w:val="false"/>
                      <w:bCs w:val="false"/>
                      <w:color w:val="1F2937"/>
                      <w:sz w:val="19"/>
                      <w:szCs w:val="19"/>
                    </w:rPr>
                    <w:t xml:space="preserve">Cross-cutting zaken per team verschillend opgelost</w:t>
                  </w:r>
                </w:p>
              </w:tc>
              <w:tc>
                <w:tcPr>
                  <w:tcW w:type="dxa" w:w="1000"/>
                  <w:tcMar>
                    <w:top w:type="dxa" w:w="100"/>
                    <w:left w:type="dxa" w:w="120"/>
                    <w:bottom w:type="dxa" w:w="100"/>
                    <w:right w:type="dxa" w:w="120"/>
                  </w:tcMar>
                  <w:vAlign w:val="center"/>
                </w:tcPr>
                <w:p>
                  <w:r>
                    <w:rPr>
                      <w:b w:val="false"/>
                      <w:bCs w:val="false"/>
                      <w:color w:val="1F2937"/>
                      <w:sz w:val="19"/>
                      <w:szCs w:val="19"/>
                    </w:rPr>
                    <w:t xml:space="preserve">open</w:t>
                  </w:r>
                </w:p>
              </w:tc>
              <w:tc>
                <w:tcPr>
                  <w:tcW w:type="dxa" w:w="900"/>
                  <w:tcMar>
                    <w:top w:type="dxa" w:w="100"/>
                    <w:left w:type="dxa" w:w="120"/>
                    <w:bottom w:type="dxa" w:w="100"/>
                    <w:right w:type="dxa" w:w="120"/>
                  </w:tcMar>
                  <w:vAlign w:val="center"/>
                </w:tcPr>
                <w:p>
                  <w:r>
                    <w:rPr>
                      <w:b w:val="false"/>
                      <w:bCs w:val="false"/>
                      <w:color w:val="1F2937"/>
                      <w:sz w:val="19"/>
                      <w:szCs w:val="19"/>
                    </w:rPr>
                    <w:t xml:space="preserve">8</w:t>
                  </w:r>
                </w:p>
              </w:tc>
              <w:tc>
                <w:tcPr>
                  <w:tcW w:type="dxa" w:w="1638"/>
                  <w:tcMar>
                    <w:top w:type="dxa" w:w="100"/>
                    <w:left w:type="dxa" w:w="120"/>
                    <w:bottom w:type="dxa" w:w="100"/>
                    <w:right w:type="dxa" w:w="120"/>
                  </w:tcMar>
                  <w:vAlign w:val="center"/>
                </w:tcPr>
                <w:p>
                  <w:r>
                    <w:rPr>
                      <w:b w:val="false"/>
                      <w:bCs w:val="false"/>
                      <w:color w:val="1F2937"/>
                      <w:sz w:val="19"/>
                      <w:szCs w:val="19"/>
                    </w:rPr>
                    <w:t xml:space="preserve"/>
                  </w:r>
                </w:p>
              </w:tc>
            </w:tr>
          </w:tbl>
          <w:p>
            <w:pPr>
              <w:spacing w:after="300"/>
            </w:pPr>
          </w:p>
          <w:p>
            <w:pPr>
              <w:spacing w:after="160" w:line="276"/>
            </w:pPr>
            <w:r>
              <w:rPr>
                <w:b/>
                <w:bCs/>
                <w:color w:val="1F2937"/>
                <w:sz w:val="22"/>
                <w:szCs w:val="22"/>
              </w:rPr>
              <w:t xml:space="preserve">b) </w:t>
            </w:r>
            <w:r>
              <w:rPr>
                <w:color w:val="1F2937"/>
                <w:sz w:val="22"/>
                <w:szCs w:val="22"/>
              </w:rPr>
              <w:t xml:space="preserve">Geen modelantwoord. Ter kalibratie: van de deelnemers die dit vak voor het eerst volgen, noemt ruwweg de helft in hun positioneringsverklaring een technologiekeuze (een stijl, een platform, een databasesoort). In deel 10 blijkt de doorslaggevende keuze vrijwel altijd van een andere orde te zijn geweest — de afbakening van verantwoordelijkheden, of de vraag hoe mutatiegeschiedenis wordt vastgelegd. Dat verschil is de leerwinst; bewaar uw verklaring daarom letterlijk.</w:t>
            </w:r>
          </w:p>
        </w:tc>
      </w:tr>
    </w:tbl>
    <w:p>
      <w:pPr>
        <w:pBdr>
          <w:top w:val="single" w:color="E5E7EB" w:sz="4" w:space="8"/>
        </w:pBdr>
        <w:spacing w:before="400"/>
        <w:jc w:val="center"/>
      </w:pPr>
      <w:r>
        <w:rPr>
          <w:i/>
          <w:iCs/>
          <w:color w:val="6B7280"/>
          <w:sz w:val="17"/>
          <w:szCs w:val="17"/>
        </w:rPr>
        <w:t xml:space="preserve">Ductus B.V. · Cursus Softwarearchitectuur · Niveau 1, deel 1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2026-08-17T20:57:52.890Z</dcterms:created>
  <dcterms:modified xsi:type="dcterms:W3CDTF">2026-08-17T20:57:52.891Z</dcterms:modified>
</cp:coreProperties>
</file>

<file path=docProps/custom.xml><?xml version="1.0" encoding="utf-8"?>
<Properties xmlns="http://schemas.openxmlformats.org/officeDocument/2006/custom-properties" xmlns:vt="http://schemas.openxmlformats.org/officeDocument/2006/docPropsVTypes"/>
</file>