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2 — Van eisen naar architectuur</w:t>
      </w:r>
    </w:p>
    <w:p>
      <w:pPr>
        <w:spacing w:after="200"/>
      </w:pPr>
      <w:r>
        <w:rPr>
          <w:b/>
          <w:bCs/>
          <w:color w:val="4A6789"/>
          <w:sz w:val="26"/>
          <w:szCs w:val="26"/>
        </w:rPr>
        <w:t xml:space="preserve">Docentenhandleiding</w:t>
      </w:r>
    </w:p>
    <w:p>
      <w:pPr>
        <w:spacing w:after="400"/>
      </w:pPr>
      <w:r>
        <w:rPr>
          <w:color w:val="6B7280"/>
          <w:sz w:val="20"/>
          <w:szCs w:val="20"/>
        </w:rPr>
        <w:t xml:space="preserve">Cursus Softwarearchitectuur · Niveau 1 (CPSA-F) · Deel 2 van 10</w:t>
      </w:r>
    </w:p>
    <w:p>
      <w:pPr>
        <w:pStyle w:val="Heading1"/>
        <w:pBdr>
          <w:bottom w:val="single" w:color="E5E7EB" w:sz="6" w:space="6"/>
        </w:pBdr>
        <w:spacing w:after="180" w:before="380"/>
      </w:pPr>
      <w:r>
        <w:rPr>
          <w:b/>
          <w:bCs/>
          <w:color w:val="1F3A5F"/>
          <w:sz w:val="30"/>
          <w:szCs w:val="30"/>
        </w:rPr>
        <w:t xml:space="preserve">1. Positie van dit deel</w:t>
      </w:r>
    </w:p>
    <w:p>
      <w:pPr>
        <w:spacing w:after="160" w:line="276"/>
      </w:pPr>
      <w:r>
        <w:rPr>
          <w:color w:val="1F2937"/>
          <w:sz w:val="22"/>
          <w:szCs w:val="22"/>
        </w:rPr>
        <w:t xml:space="preserve">Deel 2 is het meest examenrelevante deel van de eerste helft van niveau 1, en tegelijk het deel met de grootste praktijkopbrengst. Het levert drie dingen op die de rest van het niveau dragen:</w:t>
      </w:r>
    </w:p>
    <w:p>
      <w:pPr>
        <w:pStyle w:val="ListParagraph"/>
        <w:numPr>
          <w:ilvl w:val="0"/>
          <w:numId w:val="2"/>
        </w:numPr>
        <w:spacing w:after="120"/>
      </w:pPr>
      <w:r>
        <w:rPr>
          <w:b/>
          <w:bCs/>
          <w:color w:val="1F2937"/>
          <w:sz w:val="22"/>
          <w:szCs w:val="22"/>
        </w:rPr>
        <w:t xml:space="preserve">Het scenario als werkvorm. </w:t>
      </w:r>
      <w:r>
        <w:rPr>
          <w:color w:val="1F2937"/>
          <w:sz w:val="22"/>
          <w:szCs w:val="22"/>
        </w:rPr>
        <w:t xml:space="preserve">Vanaf hier is “een eis” in deze cursus altijd een zesdelig scenario. Deel 6 (tactieken) en deel 9 (evaluatie) veronderstellen dat volledig.</w:t>
      </w:r>
    </w:p>
    <w:p>
      <w:pPr>
        <w:pStyle w:val="ListParagraph"/>
        <w:numPr>
          <w:ilvl w:val="0"/>
          <w:numId w:val="2"/>
        </w:numPr>
        <w:spacing w:after="120"/>
      </w:pPr>
      <w:r>
        <w:rPr>
          <w:b/>
          <w:bCs/>
          <w:color w:val="1F2937"/>
          <w:sz w:val="22"/>
          <w:szCs w:val="22"/>
        </w:rPr>
        <w:t xml:space="preserve">De vier architectuurdrijvers voor Mutatie 2.0. </w:t>
      </w:r>
      <w:r>
        <w:rPr>
          <w:color w:val="1F2937"/>
          <w:sz w:val="22"/>
          <w:szCs w:val="22"/>
        </w:rPr>
        <w:t xml:space="preserve">Deelnemers leggen die vandaag vast in hun capstonedossier en verantwoorden er in deel 3 tot en met 9 elke ontwerpkeuze tegen. Als de drijvers vandaag zwak zijn, is de capstone in deel 10 zwak.</w:t>
      </w:r>
    </w:p>
    <w:p>
      <w:pPr>
        <w:pStyle w:val="ListParagraph"/>
        <w:numPr>
          <w:ilvl w:val="0"/>
          <w:numId w:val="2"/>
        </w:numPr>
        <w:spacing w:after="120"/>
      </w:pPr>
      <w:r>
        <w:rPr>
          <w:b/>
          <w:bCs/>
          <w:color w:val="1F2937"/>
          <w:sz w:val="22"/>
          <w:szCs w:val="22"/>
        </w:rPr>
        <w:t xml:space="preserve">De trade-off als denkvorm. </w:t>
      </w:r>
      <w:r>
        <w:rPr>
          <w:color w:val="1F2937"/>
          <w:sz w:val="22"/>
          <w:szCs w:val="22"/>
        </w:rPr>
        <w:t xml:space="preserve">Dit is het punt waarop de groep leert dat een architect niet optimaliseert maar kiest.</w:t>
      </w:r>
    </w:p>
    <w:p>
      <w:pPr>
        <w:spacing w:after="160" w:line="276"/>
      </w:pPr>
      <w:r>
        <w:rPr>
          <w:b/>
          <w:bCs/>
          <w:color w:val="1F2937"/>
          <w:sz w:val="22"/>
          <w:szCs w:val="22"/>
        </w:rPr>
        <w:t xml:space="preserve">Waarschuwing over tijd. </w:t>
      </w:r>
      <w:r>
        <w:rPr>
          <w:color w:val="1F2937"/>
          <w:sz w:val="22"/>
          <w:szCs w:val="22"/>
        </w:rPr>
        <w:t xml:space="preserve">Dit dagdeel bevat meer materiaal dan er past. Er is bewust één opdracht te veel opgenomen. Kies vooraf welke u laat vallen; improviseren onderweg leidt er steevast toe dat opdracht 2.4 (de kwaliteitsboom) wordt ingekort, en dat is de opdracht die u het minst mag inkorten.</w:t>
      </w:r>
    </w:p>
    <w:p>
      <w:pPr>
        <w:pStyle w:val="Heading1"/>
        <w:pBdr>
          <w:bottom w:val="single" w:color="E5E7EB" w:sz="6" w:space="6"/>
        </w:pBdr>
        <w:spacing w:after="180" w:before="380"/>
      </w:pPr>
      <w:r>
        <w:rPr>
          <w:b/>
          <w:bCs/>
          <w:color w:val="1F3A5F"/>
          <w:sz w:val="30"/>
          <w:szCs w:val="30"/>
        </w:rPr>
        <w:t xml:space="preserve">2. Dagdeelplanning (4 uur, twee pauzes)</w:t>
      </w:r>
    </w:p>
    <w:tbl>
      <w:tblPr>
        <w:tblW w:type="dxa" w:w="96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700"/>
        <w:gridCol w:w="4400"/>
        <w:gridCol w:w="2200"/>
        <w:gridCol w:w="1300"/>
      </w:tblGrid>
      <w:tr>
        <w:trPr>
          <w:tblHeader/>
        </w:trPr>
        <w:tc>
          <w:tcPr>
            <w:tcW w:type="dxa" w:w="1700"/>
            <w:shd w:fill="1F3A5F" w:val="clear"/>
            <w:tcMar>
              <w:top w:type="dxa" w:w="100"/>
              <w:left w:type="dxa" w:w="120"/>
              <w:bottom w:type="dxa" w:w="100"/>
              <w:right w:type="dxa" w:w="120"/>
            </w:tcMar>
            <w:vAlign w:val="center"/>
          </w:tcPr>
          <w:p>
            <w:r>
              <w:rPr>
                <w:b/>
                <w:bCs/>
                <w:color w:val="FFFFFF"/>
                <w:sz w:val="19"/>
                <w:szCs w:val="19"/>
              </w:rPr>
              <w:t xml:space="preserve">Tijd</w:t>
            </w:r>
          </w:p>
        </w:tc>
        <w:tc>
          <w:tcPr>
            <w:tcW w:type="dxa" w:w="4400"/>
            <w:shd w:fill="1F3A5F" w:val="clear"/>
            <w:tcMar>
              <w:top w:type="dxa" w:w="100"/>
              <w:left w:type="dxa" w:w="120"/>
              <w:bottom w:type="dxa" w:w="100"/>
              <w:right w:type="dxa" w:w="120"/>
            </w:tcMar>
            <w:vAlign w:val="center"/>
          </w:tcPr>
          <w:p>
            <w:r>
              <w:rPr>
                <w:b/>
                <w:bCs/>
                <w:color w:val="FFFFFF"/>
                <w:sz w:val="19"/>
                <w:szCs w:val="19"/>
              </w:rPr>
              <w:t xml:space="preserve">Onderdeel</w:t>
            </w:r>
          </w:p>
        </w:tc>
        <w:tc>
          <w:tcPr>
            <w:tcW w:type="dxa" w:w="22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1300"/>
            <w:shd w:fill="1F3A5F" w:val="clear"/>
            <w:tcMar>
              <w:top w:type="dxa" w:w="100"/>
              <w:left w:type="dxa" w:w="120"/>
              <w:bottom w:type="dxa" w:w="100"/>
              <w:right w:type="dxa" w:w="120"/>
            </w:tcMar>
            <w:vAlign w:val="center"/>
          </w:tcPr>
          <w:p>
            <w:r>
              <w:rPr>
                <w:b/>
                <w:bCs/>
                <w:color w:val="FFFFFF"/>
                <w:sz w:val="19"/>
                <w:szCs w:val="19"/>
              </w:rPr>
              <w:t xml:space="preserve">Slides</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0:00–0:15</w:t>
            </w:r>
          </w:p>
        </w:tc>
        <w:tc>
          <w:tcPr>
            <w:tcW w:type="dxa" w:w="4400"/>
            <w:tcMar>
              <w:top w:type="dxa" w:w="100"/>
              <w:left w:type="dxa" w:w="120"/>
              <w:bottom w:type="dxa" w:w="100"/>
              <w:right w:type="dxa" w:w="120"/>
            </w:tcMar>
            <w:vAlign w:val="center"/>
          </w:tcPr>
          <w:p>
            <w:r>
              <w:rPr>
                <w:b w:val="false"/>
                <w:bCs w:val="false"/>
                <w:color w:val="1F2937"/>
                <w:sz w:val="19"/>
                <w:szCs w:val="19"/>
              </w:rPr>
              <w:t xml:space="preserve">Terugkoppeling opdracht 1.5 (eigen ontstane architectuur)</w:t>
            </w:r>
          </w:p>
        </w:tc>
        <w:tc>
          <w:tcPr>
            <w:tcW w:type="dxa" w:w="22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00"/>
            <w:tcMar>
              <w:top w:type="dxa" w:w="100"/>
              <w:left w:type="dxa" w:w="120"/>
              <w:bottom w:type="dxa" w:w="100"/>
              <w:right w:type="dxa" w:w="120"/>
            </w:tcMar>
            <w:vAlign w:val="center"/>
          </w:tcPr>
          <w:p>
            <w:r>
              <w:rPr>
                <w:b w:val="false"/>
                <w:bCs w:val="false"/>
                <w:color w:val="1F2937"/>
                <w:sz w:val="19"/>
                <w:szCs w:val="19"/>
              </w:rPr>
              <w:t xml:space="preserve">2</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0:15–0:25</w:t>
            </w:r>
          </w:p>
        </w:tc>
        <w:tc>
          <w:tcPr>
            <w:tcW w:type="dxa" w:w="4400"/>
            <w:tcMar>
              <w:top w:type="dxa" w:w="100"/>
              <w:left w:type="dxa" w:w="120"/>
              <w:bottom w:type="dxa" w:w="100"/>
              <w:right w:type="dxa" w:w="120"/>
            </w:tcMar>
            <w:vAlign w:val="center"/>
          </w:tcPr>
          <w:p>
            <w:r>
              <w:rPr>
                <w:b w:val="false"/>
                <w:bCs w:val="false"/>
                <w:color w:val="1F2937"/>
                <w:sz w:val="19"/>
                <w:szCs w:val="19"/>
              </w:rPr>
              <w:t xml:space="preserve">De drie aanbestedingszinnen; B2 op tafel</w:t>
            </w:r>
          </w:p>
        </w:tc>
        <w:tc>
          <w:tcPr>
            <w:tcW w:type="dxa" w:w="22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00"/>
            <w:tcMar>
              <w:top w:type="dxa" w:w="100"/>
              <w:left w:type="dxa" w:w="120"/>
              <w:bottom w:type="dxa" w:w="100"/>
              <w:right w:type="dxa" w:w="120"/>
            </w:tcMar>
            <w:vAlign w:val="center"/>
          </w:tcPr>
          <w:p>
            <w:r>
              <w:rPr>
                <w:b w:val="false"/>
                <w:bCs w:val="false"/>
                <w:color w:val="1F2937"/>
                <w:sz w:val="19"/>
                <w:szCs w:val="19"/>
              </w:rPr>
              <w:t xml:space="preserve">3–5</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0:25–0:55</w:t>
            </w:r>
          </w:p>
        </w:tc>
        <w:tc>
          <w:tcPr>
            <w:tcW w:type="dxa" w:w="4400"/>
            <w:tcMar>
              <w:top w:type="dxa" w:w="100"/>
              <w:left w:type="dxa" w:w="120"/>
              <w:bottom w:type="dxa" w:w="100"/>
              <w:right w:type="dxa" w:w="120"/>
            </w:tcMar>
            <w:vAlign w:val="center"/>
          </w:tcPr>
          <w:p>
            <w:r>
              <w:rPr>
                <w:b w:val="false"/>
                <w:bCs w:val="false"/>
                <w:color w:val="1F2937"/>
                <w:sz w:val="19"/>
                <w:szCs w:val="19"/>
              </w:rPr>
              <w:t xml:space="preserve">Invloedsfactoren: eisen, randvoorwaarden, aannames, stakeholders</w:t>
            </w:r>
          </w:p>
        </w:tc>
        <w:tc>
          <w:tcPr>
            <w:tcW w:type="dxa" w:w="22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00"/>
            <w:tcMar>
              <w:top w:type="dxa" w:w="100"/>
              <w:left w:type="dxa" w:w="120"/>
              <w:bottom w:type="dxa" w:w="100"/>
              <w:right w:type="dxa" w:w="120"/>
            </w:tcMar>
            <w:vAlign w:val="center"/>
          </w:tcPr>
          <w:p>
            <w:r>
              <w:rPr>
                <w:b w:val="false"/>
                <w:bCs w:val="false"/>
                <w:color w:val="1F2937"/>
                <w:sz w:val="19"/>
                <w:szCs w:val="19"/>
              </w:rPr>
              <w:t xml:space="preserve">6–12</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0:55–1:10</w:t>
            </w:r>
          </w:p>
        </w:tc>
        <w:tc>
          <w:tcPr>
            <w:tcW w:type="dxa" w:w="4400"/>
            <w:tcMar>
              <w:top w:type="dxa" w:w="100"/>
              <w:left w:type="dxa" w:w="120"/>
              <w:bottom w:type="dxa" w:w="100"/>
              <w:right w:type="dxa" w:w="120"/>
            </w:tcMar>
            <w:vAlign w:val="center"/>
          </w:tcPr>
          <w:p>
            <w:r>
              <w:rPr>
                <w:b w:val="false"/>
                <w:bCs w:val="false"/>
                <w:color w:val="1F2937"/>
                <w:sz w:val="19"/>
                <w:szCs w:val="19"/>
              </w:rPr>
              <w:t xml:space="preserve">Opdracht 2.1 — classificeren</w:t>
            </w:r>
          </w:p>
        </w:tc>
        <w:tc>
          <w:tcPr>
            <w:tcW w:type="dxa" w:w="2200"/>
            <w:tcMar>
              <w:top w:type="dxa" w:w="100"/>
              <w:left w:type="dxa" w:w="120"/>
              <w:bottom w:type="dxa" w:w="100"/>
              <w:right w:type="dxa" w:w="120"/>
            </w:tcMar>
            <w:vAlign w:val="center"/>
          </w:tcPr>
          <w:p>
            <w:r>
              <w:rPr>
                <w:b w:val="false"/>
                <w:bCs w:val="false"/>
                <w:color w:val="1F2937"/>
                <w:sz w:val="19"/>
                <w:szCs w:val="19"/>
              </w:rPr>
              <w:t xml:space="preserve">individueel + kort plenair</w:t>
            </w:r>
          </w:p>
        </w:tc>
        <w:tc>
          <w:tcPr>
            <w:tcW w:type="dxa" w:w="1300"/>
            <w:tcMar>
              <w:top w:type="dxa" w:w="100"/>
              <w:left w:type="dxa" w:w="120"/>
              <w:bottom w:type="dxa" w:w="100"/>
              <w:right w:type="dxa" w:w="120"/>
            </w:tcMar>
            <w:vAlign w:val="center"/>
          </w:tcPr>
          <w:p>
            <w:r>
              <w:rPr>
                <w:b w:val="false"/>
                <w:bCs w:val="false"/>
                <w:color w:val="1F2937"/>
                <w:sz w:val="19"/>
                <w:szCs w:val="19"/>
              </w:rPr>
              <w:t xml:space="preserve">13</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1:10–1:20</w:t>
            </w:r>
          </w:p>
        </w:tc>
        <w:tc>
          <w:tcPr>
            <w:tcW w:type="dxa" w:w="4400"/>
            <w:tcMar>
              <w:top w:type="dxa" w:w="100"/>
              <w:left w:type="dxa" w:w="120"/>
              <w:bottom w:type="dxa" w:w="100"/>
              <w:right w:type="dxa" w:w="120"/>
            </w:tcMar>
            <w:vAlign w:val="center"/>
          </w:tcPr>
          <w:p>
            <w:r>
              <w:rPr>
                <w:b w:val="false"/>
                <w:bCs w:val="false"/>
                <w:color w:val="1F2937"/>
                <w:sz w:val="19"/>
                <w:szCs w:val="19"/>
              </w:rPr>
              <w:t xml:space="preserve">Pauze</w:t>
            </w:r>
          </w:p>
        </w:tc>
        <w:tc>
          <w:tcPr>
            <w:tcW w:type="dxa" w:w="2200"/>
            <w:tcMar>
              <w:top w:type="dxa" w:w="100"/>
              <w:left w:type="dxa" w:w="120"/>
              <w:bottom w:type="dxa" w:w="100"/>
              <w:right w:type="dxa" w:w="120"/>
            </w:tcMar>
            <w:vAlign w:val="center"/>
          </w:tcPr>
          <w:p>
            <w:r>
              <w:rPr>
                <w:b w:val="false"/>
                <w:bCs w:val="false"/>
                <w:color w:val="1F2937"/>
                <w:sz w:val="19"/>
                <w:szCs w:val="19"/>
              </w:rPr>
              <w:t xml:space="preserve"/>
            </w:r>
          </w:p>
        </w:tc>
        <w:tc>
          <w:tcPr>
            <w:tcW w:type="dxa" w:w="1300"/>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1:20–1:35</w:t>
            </w:r>
          </w:p>
        </w:tc>
        <w:tc>
          <w:tcPr>
            <w:tcW w:type="dxa" w:w="4400"/>
            <w:tcMar>
              <w:top w:type="dxa" w:w="100"/>
              <w:left w:type="dxa" w:w="120"/>
              <w:bottom w:type="dxa" w:w="100"/>
              <w:right w:type="dxa" w:w="120"/>
            </w:tcMar>
            <w:vAlign w:val="center"/>
          </w:tcPr>
          <w:p>
            <w:r>
              <w:rPr>
                <w:b w:val="false"/>
                <w:bCs w:val="false"/>
                <w:color w:val="1F2937"/>
                <w:sz w:val="19"/>
                <w:szCs w:val="19"/>
              </w:rPr>
              <w:t xml:space="preserve">Functioneel versus kwaliteit</w:t>
            </w:r>
          </w:p>
        </w:tc>
        <w:tc>
          <w:tcPr>
            <w:tcW w:type="dxa" w:w="22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00"/>
            <w:tcMar>
              <w:top w:type="dxa" w:w="100"/>
              <w:left w:type="dxa" w:w="120"/>
              <w:bottom w:type="dxa" w:w="100"/>
              <w:right w:type="dxa" w:w="120"/>
            </w:tcMar>
            <w:vAlign w:val="center"/>
          </w:tcPr>
          <w:p>
            <w:r>
              <w:rPr>
                <w:b w:val="false"/>
                <w:bCs w:val="false"/>
                <w:color w:val="1F2937"/>
                <w:sz w:val="19"/>
                <w:szCs w:val="19"/>
              </w:rPr>
              <w:t xml:space="preserve">14–17</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1:35–1:55</w:t>
            </w:r>
          </w:p>
        </w:tc>
        <w:tc>
          <w:tcPr>
            <w:tcW w:type="dxa" w:w="4400"/>
            <w:tcMar>
              <w:top w:type="dxa" w:w="100"/>
              <w:left w:type="dxa" w:w="120"/>
              <w:bottom w:type="dxa" w:w="100"/>
              <w:right w:type="dxa" w:w="120"/>
            </w:tcMar>
            <w:vAlign w:val="center"/>
          </w:tcPr>
          <w:p>
            <w:r>
              <w:rPr>
                <w:b w:val="false"/>
                <w:bCs w:val="false"/>
                <w:color w:val="1F2937"/>
                <w:sz w:val="19"/>
                <w:szCs w:val="19"/>
              </w:rPr>
              <w:t xml:space="preserve">ISO 25010 en het scenario in zes delen</w:t>
            </w:r>
          </w:p>
        </w:tc>
        <w:tc>
          <w:tcPr>
            <w:tcW w:type="dxa" w:w="22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00"/>
            <w:tcMar>
              <w:top w:type="dxa" w:w="100"/>
              <w:left w:type="dxa" w:w="120"/>
              <w:bottom w:type="dxa" w:w="100"/>
              <w:right w:type="dxa" w:w="120"/>
            </w:tcMar>
            <w:vAlign w:val="center"/>
          </w:tcPr>
          <w:p>
            <w:r>
              <w:rPr>
                <w:b w:val="false"/>
                <w:bCs w:val="false"/>
                <w:color w:val="1F2937"/>
                <w:sz w:val="19"/>
                <w:szCs w:val="19"/>
              </w:rPr>
              <w:t xml:space="preserve">18–24</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1:55–2:25</w:t>
            </w:r>
          </w:p>
        </w:tc>
        <w:tc>
          <w:tcPr>
            <w:tcW w:type="dxa" w:w="4400"/>
            <w:tcMar>
              <w:top w:type="dxa" w:w="100"/>
              <w:left w:type="dxa" w:w="120"/>
              <w:bottom w:type="dxa" w:w="100"/>
              <w:right w:type="dxa" w:w="120"/>
            </w:tcMar>
            <w:vAlign w:val="center"/>
          </w:tcPr>
          <w:p>
            <w:r>
              <w:rPr>
                <w:b w:val="false"/>
                <w:bCs w:val="false"/>
                <w:color w:val="1F2937"/>
                <w:sz w:val="19"/>
                <w:szCs w:val="19"/>
              </w:rPr>
              <w:t xml:space="preserve">Opdracht 2.2 — van bijvoeglijk naamwoord naar scenario</w:t>
            </w:r>
          </w:p>
        </w:tc>
        <w:tc>
          <w:tcPr>
            <w:tcW w:type="dxa" w:w="2200"/>
            <w:tcMar>
              <w:top w:type="dxa" w:w="100"/>
              <w:left w:type="dxa" w:w="120"/>
              <w:bottom w:type="dxa" w:w="100"/>
              <w:right w:type="dxa" w:w="120"/>
            </w:tcMar>
            <w:vAlign w:val="center"/>
          </w:tcPr>
          <w:p>
            <w:r>
              <w:rPr>
                <w:b w:val="false"/>
                <w:bCs w:val="false"/>
                <w:color w:val="1F2937"/>
                <w:sz w:val="19"/>
                <w:szCs w:val="19"/>
              </w:rPr>
              <w:t xml:space="preserve">duo's + plenair</w:t>
            </w:r>
          </w:p>
        </w:tc>
        <w:tc>
          <w:tcPr>
            <w:tcW w:type="dxa" w:w="1300"/>
            <w:tcMar>
              <w:top w:type="dxa" w:w="100"/>
              <w:left w:type="dxa" w:w="120"/>
              <w:bottom w:type="dxa" w:w="100"/>
              <w:right w:type="dxa" w:w="120"/>
            </w:tcMar>
            <w:vAlign w:val="center"/>
          </w:tcPr>
          <w:p>
            <w:r>
              <w:rPr>
                <w:b w:val="false"/>
                <w:bCs w:val="false"/>
                <w:color w:val="1F2937"/>
                <w:sz w:val="19"/>
                <w:szCs w:val="19"/>
              </w:rPr>
              <w:t xml:space="preserve">25</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2:25–2:35</w:t>
            </w:r>
          </w:p>
        </w:tc>
        <w:tc>
          <w:tcPr>
            <w:tcW w:type="dxa" w:w="4400"/>
            <w:tcMar>
              <w:top w:type="dxa" w:w="100"/>
              <w:left w:type="dxa" w:w="120"/>
              <w:bottom w:type="dxa" w:w="100"/>
              <w:right w:type="dxa" w:w="120"/>
            </w:tcMar>
            <w:vAlign w:val="center"/>
          </w:tcPr>
          <w:p>
            <w:r>
              <w:rPr>
                <w:b w:val="false"/>
                <w:bCs w:val="false"/>
                <w:color w:val="1F2937"/>
                <w:sz w:val="19"/>
                <w:szCs w:val="19"/>
              </w:rPr>
              <w:t xml:space="preserve">Pauze</w:t>
            </w:r>
          </w:p>
        </w:tc>
        <w:tc>
          <w:tcPr>
            <w:tcW w:type="dxa" w:w="2200"/>
            <w:tcMar>
              <w:top w:type="dxa" w:w="100"/>
              <w:left w:type="dxa" w:w="120"/>
              <w:bottom w:type="dxa" w:w="100"/>
              <w:right w:type="dxa" w:w="120"/>
            </w:tcMar>
            <w:vAlign w:val="center"/>
          </w:tcPr>
          <w:p>
            <w:r>
              <w:rPr>
                <w:b w:val="false"/>
                <w:bCs w:val="false"/>
                <w:color w:val="1F2937"/>
                <w:sz w:val="19"/>
                <w:szCs w:val="19"/>
              </w:rPr>
              <w:t xml:space="preserve"/>
            </w:r>
          </w:p>
        </w:tc>
        <w:tc>
          <w:tcPr>
            <w:tcW w:type="dxa" w:w="1300"/>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2:35–2:50</w:t>
            </w:r>
          </w:p>
        </w:tc>
        <w:tc>
          <w:tcPr>
            <w:tcW w:type="dxa" w:w="4400"/>
            <w:tcMar>
              <w:top w:type="dxa" w:w="100"/>
              <w:left w:type="dxa" w:w="120"/>
              <w:bottom w:type="dxa" w:w="100"/>
              <w:right w:type="dxa" w:w="120"/>
            </w:tcMar>
            <w:vAlign w:val="center"/>
          </w:tcPr>
          <w:p>
            <w:r>
              <w:rPr>
                <w:b w:val="false"/>
                <w:bCs w:val="false"/>
                <w:color w:val="1F2937"/>
                <w:sz w:val="19"/>
                <w:szCs w:val="19"/>
              </w:rPr>
              <w:t xml:space="preserve">De kwaliteitsboom en de twee assen</w:t>
            </w:r>
          </w:p>
        </w:tc>
        <w:tc>
          <w:tcPr>
            <w:tcW w:type="dxa" w:w="22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00"/>
            <w:tcMar>
              <w:top w:type="dxa" w:w="100"/>
              <w:left w:type="dxa" w:w="120"/>
              <w:bottom w:type="dxa" w:w="100"/>
              <w:right w:type="dxa" w:w="120"/>
            </w:tcMar>
            <w:vAlign w:val="center"/>
          </w:tcPr>
          <w:p>
            <w:r>
              <w:rPr>
                <w:b w:val="false"/>
                <w:bCs w:val="false"/>
                <w:color w:val="1F2937"/>
                <w:sz w:val="19"/>
                <w:szCs w:val="19"/>
              </w:rPr>
              <w:t xml:space="preserve">26–28</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2:50–3:30</w:t>
            </w:r>
          </w:p>
        </w:tc>
        <w:tc>
          <w:tcPr>
            <w:tcW w:type="dxa" w:w="4400"/>
            <w:tcMar>
              <w:top w:type="dxa" w:w="100"/>
              <w:left w:type="dxa" w:w="120"/>
              <w:bottom w:type="dxa" w:w="100"/>
              <w:right w:type="dxa" w:w="120"/>
            </w:tcMar>
            <w:vAlign w:val="center"/>
          </w:tcPr>
          <w:p>
            <w:r>
              <w:rPr>
                <w:b w:val="false"/>
                <w:bCs w:val="false"/>
                <w:color w:val="1F2937"/>
                <w:sz w:val="19"/>
                <w:szCs w:val="19"/>
              </w:rPr>
              <w:t xml:space="preserve">Opdracht 2.4 — boom bouwen en scoren</w:t>
            </w:r>
          </w:p>
        </w:tc>
        <w:tc>
          <w:tcPr>
            <w:tcW w:type="dxa" w:w="22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300"/>
            <w:tcMar>
              <w:top w:type="dxa" w:w="100"/>
              <w:left w:type="dxa" w:w="120"/>
              <w:bottom w:type="dxa" w:w="100"/>
              <w:right w:type="dxa" w:w="120"/>
            </w:tcMar>
            <w:vAlign w:val="center"/>
          </w:tcPr>
          <w:p>
            <w:r>
              <w:rPr>
                <w:b w:val="false"/>
                <w:bCs w:val="false"/>
                <w:color w:val="1F2937"/>
                <w:sz w:val="19"/>
                <w:szCs w:val="19"/>
              </w:rPr>
              <w:t xml:space="preserve">29</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3:30–3:50</w:t>
            </w:r>
          </w:p>
        </w:tc>
        <w:tc>
          <w:tcPr>
            <w:tcW w:type="dxa" w:w="4400"/>
            <w:tcMar>
              <w:top w:type="dxa" w:w="100"/>
              <w:left w:type="dxa" w:w="120"/>
              <w:bottom w:type="dxa" w:w="100"/>
              <w:right w:type="dxa" w:w="120"/>
            </w:tcMar>
            <w:vAlign w:val="center"/>
          </w:tcPr>
          <w:p>
            <w:r>
              <w:rPr>
                <w:b w:val="false"/>
                <w:bCs w:val="false"/>
                <w:color w:val="1F2937"/>
                <w:sz w:val="19"/>
                <w:szCs w:val="19"/>
              </w:rPr>
              <w:t xml:space="preserve">Trade-offs</w:t>
            </w:r>
          </w:p>
        </w:tc>
        <w:tc>
          <w:tcPr>
            <w:tcW w:type="dxa" w:w="22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00"/>
            <w:tcMar>
              <w:top w:type="dxa" w:w="100"/>
              <w:left w:type="dxa" w:w="120"/>
              <w:bottom w:type="dxa" w:w="100"/>
              <w:right w:type="dxa" w:w="120"/>
            </w:tcMar>
            <w:vAlign w:val="center"/>
          </w:tcPr>
          <w:p>
            <w:r>
              <w:rPr>
                <w:b w:val="false"/>
                <w:bCs w:val="false"/>
                <w:color w:val="1F2937"/>
                <w:sz w:val="19"/>
                <w:szCs w:val="19"/>
              </w:rPr>
              <w:t xml:space="preserve">30–32</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3:50–4:00</w:t>
            </w:r>
          </w:p>
        </w:tc>
        <w:tc>
          <w:tcPr>
            <w:tcW w:type="dxa" w:w="4400"/>
            <w:tcMar>
              <w:top w:type="dxa" w:w="100"/>
              <w:left w:type="dxa" w:w="120"/>
              <w:bottom w:type="dxa" w:w="100"/>
              <w:right w:type="dxa" w:w="120"/>
            </w:tcMar>
            <w:vAlign w:val="center"/>
          </w:tcPr>
          <w:p>
            <w:r>
              <w:rPr>
                <w:b w:val="false"/>
                <w:bCs w:val="false"/>
                <w:color w:val="1F2937"/>
                <w:sz w:val="19"/>
                <w:szCs w:val="19"/>
              </w:rPr>
              <w:t xml:space="preserve">Terug naar B2, huiswerk, vooruitblik</w:t>
            </w:r>
          </w:p>
        </w:tc>
        <w:tc>
          <w:tcPr>
            <w:tcW w:type="dxa" w:w="22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00"/>
            <w:tcMar>
              <w:top w:type="dxa" w:w="100"/>
              <w:left w:type="dxa" w:w="120"/>
              <w:bottom w:type="dxa" w:w="100"/>
              <w:right w:type="dxa" w:w="120"/>
            </w:tcMar>
            <w:vAlign w:val="center"/>
          </w:tcPr>
          <w:p>
            <w:r>
              <w:rPr>
                <w:b w:val="false"/>
                <w:bCs w:val="false"/>
                <w:color w:val="1F2937"/>
                <w:sz w:val="19"/>
                <w:szCs w:val="19"/>
              </w:rPr>
              <w:t xml:space="preserve">33–34</w:t>
            </w:r>
          </w:p>
        </w:tc>
      </w:tr>
    </w:tbl>
    <w:p>
      <w:pPr>
        <w:spacing w:after="300"/>
      </w:pPr>
    </w:p>
    <w:p>
      <w:pPr>
        <w:spacing w:after="160" w:line="276"/>
      </w:pPr>
      <w:r>
        <w:rPr>
          <w:b/>
          <w:bCs/>
          <w:color w:val="1F2937"/>
          <w:sz w:val="22"/>
          <w:szCs w:val="22"/>
        </w:rPr>
        <w:t xml:space="preserve">Opdracht 2.3 (doorvragen) en 2.5 (trade-off uitschrijven) staan niet in de planning. </w:t>
      </w:r>
      <w:r>
        <w:rPr>
          <w:color w:val="1F2937"/>
          <w:sz w:val="22"/>
          <w:szCs w:val="22"/>
        </w:rPr>
        <w:t xml:space="preserve">Keuzemogelijkheden:</w:t>
      </w:r>
    </w:p>
    <w:p>
      <w:pPr>
        <w:pStyle w:val="ListParagraph"/>
        <w:numPr>
          <w:ilvl w:val="0"/>
          <w:numId w:val="3"/>
        </w:numPr>
        <w:spacing w:after="100"/>
      </w:pPr>
      <w:r>
        <w:rPr>
          <w:b/>
          <w:bCs/>
          <w:color w:val="1F2937"/>
          <w:sz w:val="22"/>
          <w:szCs w:val="22"/>
        </w:rPr>
        <w:t xml:space="preserve">Groep met veel analisten of consultants: </w:t>
      </w:r>
      <w:r>
        <w:rPr>
          <w:color w:val="1F2937"/>
          <w:sz w:val="22"/>
          <w:szCs w:val="22"/>
        </w:rPr>
        <w:t xml:space="preserve">vervang opdracht 2.2 gedeeltelijk door 2.3 — laat ze alleen eis 11 herschrijven en doe daarna het rollenspel. De doorvraagvaardigheid is voor deze groep waardevoller dan het derde scenario.</w:t>
      </w:r>
    </w:p>
    <w:p>
      <w:pPr>
        <w:pStyle w:val="ListParagraph"/>
        <w:numPr>
          <w:ilvl w:val="0"/>
          <w:numId w:val="3"/>
        </w:numPr>
        <w:spacing w:after="100"/>
      </w:pPr>
      <w:r>
        <w:rPr>
          <w:b/>
          <w:bCs/>
          <w:color w:val="1F2937"/>
          <w:sz w:val="22"/>
          <w:szCs w:val="22"/>
        </w:rPr>
        <w:t xml:space="preserve">Groep met vooral ontwikkelaars: </w:t>
      </w:r>
      <w:r>
        <w:rPr>
          <w:color w:val="1F2937"/>
          <w:sz w:val="22"/>
          <w:szCs w:val="22"/>
        </w:rPr>
        <w:t xml:space="preserve">houd 2.2 volledig en doe 2.5 in plaats van de plenaire trade-offbehandeling. Ontwikkelaars leren de trade-off beter door hem te schrijven dan door hem te horen.</w:t>
      </w:r>
    </w:p>
    <w:p>
      <w:pPr>
        <w:pStyle w:val="ListParagraph"/>
        <w:numPr>
          <w:ilvl w:val="0"/>
          <w:numId w:val="3"/>
        </w:numPr>
        <w:spacing w:after="100"/>
      </w:pPr>
      <w:r>
        <w:rPr>
          <w:b/>
          <w:bCs/>
          <w:color w:val="1F2937"/>
          <w:sz w:val="22"/>
          <w:szCs w:val="22"/>
        </w:rPr>
        <w:t xml:space="preserve">Dagdeel van 4,5 uur: </w:t>
      </w:r>
      <w:r>
        <w:rPr>
          <w:color w:val="1F2937"/>
          <w:sz w:val="22"/>
          <w:szCs w:val="22"/>
        </w:rPr>
        <w:t xml:space="preserve">doe 2.2, 2.4 en 2.5. Laat 2.3 als huiswerk in duo's.</w:t>
      </w:r>
    </w:p>
    <w:p>
      <w:pPr>
        <w:pStyle w:val="Heading1"/>
        <w:pBdr>
          <w:bottom w:val="single" w:color="E5E7EB" w:sz="6" w:space="6"/>
        </w:pBdr>
        <w:spacing w:after="180" w:before="380"/>
      </w:pPr>
      <w:r>
        <w:rPr>
          <w:b/>
          <w:bCs/>
          <w:color w:val="1F3A5F"/>
          <w:sz w:val="30"/>
          <w:szCs w:val="30"/>
        </w:rPr>
        <w:t xml:space="preserve">3. Per onderdeel: aanpak, valkuilen, sturing</w:t>
      </w:r>
    </w:p>
    <w:p>
      <w:pPr>
        <w:pStyle w:val="Heading2"/>
        <w:spacing w:after="140" w:before="260"/>
      </w:pPr>
      <w:r>
        <w:rPr>
          <w:b/>
          <w:bCs/>
          <w:color w:val="4A6789"/>
          <w:sz w:val="24"/>
          <w:szCs w:val="24"/>
        </w:rPr>
        <w:t xml:space="preserve">3.1 Terugkoppeling opdracht 1.5 (15 minuten)</w:t>
      </w:r>
    </w:p>
    <w:p>
      <w:pPr>
        <w:spacing w:after="160" w:line="276"/>
      </w:pPr>
      <w:r>
        <w:rPr>
          <w:color w:val="1F2937"/>
          <w:sz w:val="22"/>
          <w:szCs w:val="22"/>
        </w:rPr>
        <w:t xml:space="preserve">Vraag drie deelnemers om hun antwoord op vraag c) — was de beslissing op het moment van nemen redelijk? Kies bewust iemand die “nee, gewoon fout” heeft geschreven en iemand die de context heeft opgehaald. Het contrast maakt het punt.</w:t>
      </w:r>
    </w:p>
    <w:p>
      <w:pPr>
        <w:spacing w:after="160" w:line="276"/>
      </w:pPr>
      <w:r>
        <w:rPr>
          <w:color w:val="1F2937"/>
          <w:sz w:val="22"/>
          <w:szCs w:val="22"/>
        </w:rPr>
        <w:t xml:space="preserve">Dit is ook uw eerste harde signaalmoment: deelnemers die het huiswerk niet gemaakt hebben, maken opdracht 2.6 en 2.7 waarschijnlijk ook niet, en verschijnen in deel 10 zonder dossier. Benoem dat nu, vriendelijk maar duidelijk.</w:t>
      </w:r>
    </w:p>
    <w:p>
      <w:pPr>
        <w:pStyle w:val="Heading2"/>
        <w:spacing w:after="140" w:before="260"/>
      </w:pPr>
      <w:r>
        <w:rPr>
          <w:b/>
          <w:bCs/>
          <w:color w:val="4A6789"/>
          <w:sz w:val="24"/>
          <w:szCs w:val="24"/>
        </w:rPr>
        <w:t xml:space="preserve">3.2 De drie aanbestedingszinnen (slides 3–5)</w:t>
      </w:r>
    </w:p>
    <w:p>
      <w:pPr>
        <w:spacing w:after="160" w:line="276"/>
      </w:pPr>
      <w:r>
        <w:rPr>
          <w:b/>
          <w:bCs/>
          <w:color w:val="1F2937"/>
          <w:sz w:val="22"/>
          <w:szCs w:val="22"/>
        </w:rPr>
        <w:t xml:space="preserve">Aanpak. </w:t>
      </w:r>
      <w:r>
        <w:rPr>
          <w:color w:val="1F2937"/>
          <w:sz w:val="22"/>
          <w:szCs w:val="22"/>
        </w:rPr>
        <w:t xml:space="preserve">Toon slide 3 en vraag: “wie van u zou hierop inschrijven?” Vrijwel iedereen. Vraag door: “en waarop zou u zich later laten afrekenen?” Stilte. Dat is de hele les.</w:t>
      </w:r>
    </w:p>
    <w:p>
      <w:pPr>
        <w:spacing w:after="160" w:line="276"/>
      </w:pPr>
      <w:r>
        <w:rPr>
          <w:color w:val="1F2937"/>
          <w:sz w:val="22"/>
          <w:szCs w:val="22"/>
        </w:rPr>
        <w:t xml:space="preserve">Laat de groep de zinnen niet meteen herschrijven — dat is opdracht 2.2, later. Wie er nu al aan begint, parkeren.</w:t>
      </w:r>
    </w:p>
    <w:p>
      <w:pPr>
        <w:pStyle w:val="Heading2"/>
        <w:spacing w:after="140" w:before="260"/>
      </w:pPr>
      <w:r>
        <w:rPr>
          <w:b/>
          <w:bCs/>
          <w:color w:val="4A6789"/>
          <w:sz w:val="24"/>
          <w:szCs w:val="24"/>
        </w:rPr>
        <w:t xml:space="preserve">3.3 Invloedsfactoren (slides 6–12)</w:t>
      </w:r>
    </w:p>
    <w:p>
      <w:pPr>
        <w:spacing w:after="160" w:line="276"/>
      </w:pPr>
      <w:r>
        <w:rPr>
          <w:b/>
          <w:bCs/>
          <w:color w:val="1F2937"/>
          <w:sz w:val="22"/>
          <w:szCs w:val="22"/>
        </w:rPr>
        <w:t xml:space="preserve">Het zwaartepunt ligt bij aannames. </w:t>
      </w:r>
      <w:r>
        <w:rPr>
          <w:color w:val="1F2937"/>
          <w:sz w:val="22"/>
          <w:szCs w:val="22"/>
        </w:rPr>
        <w:t xml:space="preserve">Randvoorwaarden begrijpt iedereen meteen; aannames zijn contra-intuïtief omdat ze zich voordoen als feiten.</w:t>
      </w:r>
    </w:p>
    <w:p>
      <w:pPr>
        <w:spacing w:after="160" w:line="276"/>
      </w:pPr>
      <w:r>
        <w:rPr>
          <w:b/>
          <w:bCs/>
          <w:color w:val="1F2937"/>
          <w:sz w:val="22"/>
          <w:szCs w:val="22"/>
        </w:rPr>
        <w:t xml:space="preserve">De sterkste werkvorm hier: </w:t>
      </w:r>
      <w:r>
        <w:rPr>
          <w:color w:val="1F2937"/>
          <w:sz w:val="22"/>
          <w:szCs w:val="22"/>
        </w:rPr>
        <w:t xml:space="preserve">toon slide 10 (de 24-uursaanname en de ~400 gevallen per maand) en vraag de groep om binnen twee minuten één aanname te noemen waarop hun eigen systeem draait. Er komt altijd iets, en het is bijna altijd iets over volume, over gebruikersgedrag of over de betrouwbaarheid van een leverancier. Noteer er drie op de flip-over; u gebruikt ze bij opdracht 2.6.</w:t>
      </w:r>
    </w:p>
    <w:p>
      <w:pPr>
        <w:spacing w:after="160" w:line="276"/>
      </w:pPr>
      <w:r>
        <w:rPr>
          <w:b/>
          <w:bCs/>
          <w:color w:val="1F2937"/>
          <w:sz w:val="22"/>
          <w:szCs w:val="22"/>
        </w:rPr>
        <w:t xml:space="preserve">Valkuil — de aanname/randvoorwaarde-discussie loopt uit. </w:t>
      </w:r>
      <w:r>
        <w:rPr>
          <w:color w:val="1F2937"/>
          <w:sz w:val="22"/>
          <w:szCs w:val="22"/>
        </w:rPr>
        <w:t xml:space="preserve">Deelnemers gaan graag debatteren over de vraag of iets nu een aanname of een randvoorwaarde is. Kap dat af met het bruikbare criterium: “is dit vastgesteld, en door wie?” Wat niet is vastgesteld, is een aanname, ongeacht hoe stellig het is opgeschreven. Uitspraak 11 (20 aanroepen per seconde) is hiervoor het beste voorbeeld: in Mutatie 1.0 was het een aanname die als randvoorwaarde werd behandeld — en in Mutatie 2.0 wordt het een randvoorwaarde zodra iemand de leverancier belt.</w:t>
      </w:r>
    </w:p>
    <w:p>
      <w:pPr>
        <w:spacing w:after="160" w:line="276"/>
      </w:pPr>
      <w:r>
        <w:rPr>
          <w:b/>
          <w:bCs/>
          <w:color w:val="1F2937"/>
          <w:sz w:val="22"/>
          <w:szCs w:val="22"/>
        </w:rPr>
        <w:t xml:space="preserve">Slide 12 verdient een pauze. </w:t>
      </w:r>
      <w:r>
        <w:rPr>
          <w:color w:val="1F2937"/>
          <w:sz w:val="22"/>
          <w:szCs w:val="22"/>
        </w:rPr>
        <w:t xml:space="preserve">“Met de pakketleverancier is nooit gesproken” is de zin waarop de groep zelf de link legt naar de stakeholdertabel. Laat ze die leggen.</w:t>
      </w:r>
    </w:p>
    <w:p>
      <w:pPr>
        <w:pStyle w:val="Heading2"/>
        <w:spacing w:after="140" w:before="260"/>
      </w:pPr>
      <w:r>
        <w:rPr>
          <w:b/>
          <w:bCs/>
          <w:color w:val="4A6789"/>
          <w:sz w:val="24"/>
          <w:szCs w:val="24"/>
        </w:rPr>
        <w:t xml:space="preserve">3.4 Opdracht 2.1 (15 minuten)</w:t>
      </w:r>
    </w:p>
    <w:p>
      <w:pPr>
        <w:spacing w:after="160" w:line="276"/>
      </w:pPr>
      <w:r>
        <w:rPr>
          <w:color w:val="1F2937"/>
          <w:sz w:val="22"/>
          <w:szCs w:val="22"/>
        </w:rPr>
        <w:t xml:space="preserve">Individueel 8 minuten, plenair 7. Bespreek niet alle vijftien. Kies 3, 10, 11, 13 en 14:</w:t>
      </w:r>
    </w:p>
    <w:p>
      <w:pPr>
        <w:pStyle w:val="ListParagraph"/>
        <w:numPr>
          <w:ilvl w:val="0"/>
          <w:numId w:val="3"/>
        </w:numPr>
        <w:spacing w:after="100"/>
      </w:pPr>
      <w:r>
        <w:rPr>
          <w:b/>
          <w:bCs/>
          <w:color w:val="1F2937"/>
          <w:sz w:val="22"/>
          <w:szCs w:val="22"/>
        </w:rPr>
        <w:t xml:space="preserve">3 en 14 </w:t>
      </w:r>
      <w:r>
        <w:rPr>
          <w:color w:val="1F2937"/>
          <w:sz w:val="22"/>
          <w:szCs w:val="22"/>
        </w:rPr>
        <w:t xml:space="preserve">zijn aannames die als feit staan opgeschreven; 14 is de aanname die Mutatie 1.0 brak.</w:t>
      </w:r>
    </w:p>
    <w:p>
      <w:pPr>
        <w:pStyle w:val="ListParagraph"/>
        <w:numPr>
          <w:ilvl w:val="0"/>
          <w:numId w:val="3"/>
        </w:numPr>
        <w:spacing w:after="100"/>
      </w:pPr>
      <w:r>
        <w:rPr>
          <w:b/>
          <w:bCs/>
          <w:color w:val="1F2937"/>
          <w:sz w:val="22"/>
          <w:szCs w:val="22"/>
        </w:rPr>
        <w:t xml:space="preserve">10 </w:t>
      </w:r>
      <w:r>
        <w:rPr>
          <w:color w:val="1F2937"/>
          <w:sz w:val="22"/>
          <w:szCs w:val="22"/>
        </w:rPr>
        <w:t xml:space="preserve">is het grensgeval (contractueel maximum versus historisch waargenomen maximum) en levert de beste discussie.</w:t>
      </w:r>
    </w:p>
    <w:p>
      <w:pPr>
        <w:pStyle w:val="ListParagraph"/>
        <w:numPr>
          <w:ilvl w:val="0"/>
          <w:numId w:val="3"/>
        </w:numPr>
        <w:spacing w:after="100"/>
      </w:pPr>
      <w:r>
        <w:rPr>
          <w:b/>
          <w:bCs/>
          <w:color w:val="1F2937"/>
          <w:sz w:val="22"/>
          <w:szCs w:val="22"/>
        </w:rPr>
        <w:t xml:space="preserve">11 </w:t>
      </w:r>
      <w:r>
        <w:rPr>
          <w:color w:val="1F2937"/>
          <w:sz w:val="22"/>
          <w:szCs w:val="22"/>
        </w:rPr>
        <w:t xml:space="preserve">is de aanname-die-randvoorwaarde-wordt.</w:t>
      </w:r>
    </w:p>
    <w:p>
      <w:pPr>
        <w:pStyle w:val="ListParagraph"/>
        <w:numPr>
          <w:ilvl w:val="0"/>
          <w:numId w:val="3"/>
        </w:numPr>
        <w:spacing w:after="100"/>
      </w:pPr>
      <w:r>
        <w:rPr>
          <w:b/>
          <w:bCs/>
          <w:color w:val="1F2937"/>
          <w:sz w:val="22"/>
          <w:szCs w:val="22"/>
        </w:rPr>
        <w:t xml:space="preserve">13 </w:t>
      </w:r>
      <w:r>
        <w:rPr>
          <w:color w:val="1F2937"/>
          <w:sz w:val="22"/>
          <w:szCs w:val="22"/>
        </w:rPr>
        <w:t xml:space="preserve">(twee teams, geen groei) lijkt saai maar is de randvoorwaarde die in deel 5 de stijlkeuze bepaalt. Zeg dat erbij; deelnemers herinneren het zich dan.</w:t>
      </w:r>
    </w:p>
    <w:p>
      <w:pPr>
        <w:spacing w:after="160" w:line="276"/>
      </w:pPr>
      <w:r>
        <w:rPr>
          <w:b/>
          <w:bCs/>
          <w:color w:val="1F2937"/>
          <w:sz w:val="22"/>
          <w:szCs w:val="22"/>
        </w:rPr>
        <w:t xml:space="preserve">Veelgemaakte fout: </w:t>
      </w:r>
      <w:r>
        <w:rPr>
          <w:color w:val="1F2937"/>
          <w:sz w:val="22"/>
          <w:szCs w:val="22"/>
        </w:rPr>
        <w:t xml:space="preserve">uitspraak 9 als scenario aanmerken. Het is een kwaliteitseis, maar nog geen scenario — de responsmaat mist een percentiel en de bron ontbreekt. Goede opmaat naar slide 22.</w:t>
      </w:r>
    </w:p>
    <w:p>
      <w:pPr>
        <w:pStyle w:val="Heading2"/>
        <w:spacing w:after="140" w:before="260"/>
      </w:pPr>
      <w:r>
        <w:rPr>
          <w:b/>
          <w:bCs/>
          <w:color w:val="4A6789"/>
          <w:sz w:val="24"/>
          <w:szCs w:val="24"/>
        </w:rPr>
        <w:t xml:space="preserve">3.5 Functioneel versus kwaliteit (slides 14–17)</w:t>
      </w:r>
    </w:p>
    <w:p>
      <w:pPr>
        <w:spacing w:after="160" w:line="276"/>
      </w:pPr>
      <w:r>
        <w:rPr>
          <w:color w:val="1F2937"/>
          <w:sz w:val="22"/>
          <w:szCs w:val="22"/>
        </w:rPr>
        <w:t xml:space="preserve">Kort en stellig. Slide 17 is de kernzin.</w:t>
      </w:r>
    </w:p>
    <w:p>
      <w:pPr>
        <w:spacing w:after="160" w:line="276"/>
      </w:pPr>
      <w:r>
        <w:rPr>
          <w:b/>
          <w:bCs/>
          <w:color w:val="1F2937"/>
          <w:sz w:val="22"/>
          <w:szCs w:val="22"/>
        </w:rPr>
        <w:t xml:space="preserve">De vraag die komt: </w:t>
      </w:r>
      <w:r>
        <w:rPr>
          <w:color w:val="1F2937"/>
          <w:sz w:val="22"/>
          <w:szCs w:val="22"/>
        </w:rPr>
        <w:t xml:space="preserve">“dus functionele eisen doen er niet toe voor de architectuur?” Nuanceer met de uitzondering uit de reader: de domeinstructuur onder de functionele eisen bepaalt wel degelijk de componentindeling — dat een scheiding fundamenteel anders is dan een adreswijziging. Verwijs naar deel 3 en ga niet verder; anders neemt u deel 3 vooruit.</w:t>
      </w:r>
    </w:p>
    <w:p>
      <w:pPr>
        <w:pStyle w:val="Heading2"/>
        <w:spacing w:after="140" w:before="260"/>
      </w:pPr>
      <w:r>
        <w:rPr>
          <w:b/>
          <w:bCs/>
          <w:color w:val="4A6789"/>
          <w:sz w:val="24"/>
          <w:szCs w:val="24"/>
        </w:rPr>
        <w:t xml:space="preserve">3.6 ISO 25010 en het scenario (slides 18–24)</w:t>
      </w:r>
    </w:p>
    <w:p>
      <w:pPr>
        <w:spacing w:after="160" w:line="276"/>
      </w:pPr>
      <w:r>
        <w:rPr>
          <w:color w:val="1F2937"/>
          <w:sz w:val="22"/>
          <w:szCs w:val="22"/>
        </w:rPr>
        <w:t xml:space="preserve">Houd ISO 25010 kort — het is een checklist, geen leerstof. Vijf minuten.</w:t>
      </w:r>
    </w:p>
    <w:p>
      <w:pPr>
        <w:spacing w:after="160" w:line="276"/>
      </w:pPr>
      <w:r>
        <w:rPr>
          <w:b/>
          <w:bCs/>
          <w:color w:val="1F2937"/>
          <w:sz w:val="22"/>
          <w:szCs w:val="22"/>
        </w:rPr>
        <w:t xml:space="preserve">Besteed de tijd aan het scenario. </w:t>
      </w:r>
      <w:r>
        <w:rPr>
          <w:color w:val="1F2937"/>
          <w:sz w:val="22"/>
          <w:szCs w:val="22"/>
        </w:rPr>
        <w:t xml:space="preserve">Doe QS-1 klassikaal, deel voor deel, en laat de groep de responsmaat zelf voorstellen. Er komt gegarandeerd “gemiddeld 2 seconden”. Dat is het moment voor slide 24: in Mutatie 1.0 was het gemiddelde 6 seconden bij één gebruiker, en dat getal heeft maandenlang gerustgesteld.</w:t>
      </w:r>
    </w:p>
    <w:p>
      <w:pPr>
        <w:spacing w:after="160" w:line="276"/>
      </w:pPr>
      <w:r>
        <w:rPr>
          <w:b/>
          <w:bCs/>
          <w:color w:val="1F2937"/>
          <w:sz w:val="22"/>
          <w:szCs w:val="22"/>
        </w:rPr>
        <w:t xml:space="preserve">Vraag die vaak komt: </w:t>
      </w:r>
      <w:r>
        <w:rPr>
          <w:color w:val="1F2937"/>
          <w:sz w:val="22"/>
          <w:szCs w:val="22"/>
        </w:rPr>
        <w:t xml:space="preserve">“hoeveel scenario's heb je nodig?” Antwoord: voor het ontwerp vier tot zes drijvers; daarnaast een langere lijst die je niet actief op ontwerpt maar wel bewaart. Verwijs naar de boom.</w:t>
      </w:r>
    </w:p>
    <w:p>
      <w:pPr>
        <w:pStyle w:val="Heading2"/>
        <w:spacing w:after="140" w:before="260"/>
      </w:pPr>
      <w:r>
        <w:rPr>
          <w:b/>
          <w:bCs/>
          <w:color w:val="4A6789"/>
          <w:sz w:val="24"/>
          <w:szCs w:val="24"/>
        </w:rPr>
        <w:t xml:space="preserve">3.7 Opdracht 2.2 (30 minuten)</w:t>
      </w:r>
    </w:p>
    <w:p>
      <w:pPr>
        <w:spacing w:after="160" w:line="276"/>
      </w:pPr>
      <w:r>
        <w:rPr>
          <w:color w:val="1F2937"/>
          <w:sz w:val="22"/>
          <w:szCs w:val="22"/>
        </w:rPr>
        <w:t xml:space="preserve">Duo's, 20 minuten werken, 10 minuten plenair.</w:t>
      </w:r>
    </w:p>
    <w:p>
      <w:pPr>
        <w:spacing w:after="160" w:line="276"/>
      </w:pPr>
      <w:r>
        <w:rPr>
          <w:b/>
          <w:bCs/>
          <w:color w:val="1F2937"/>
          <w:sz w:val="22"/>
          <w:szCs w:val="22"/>
        </w:rPr>
        <w:t xml:space="preserve">Loop rond en let op eis 11 (“toekomstvast”). </w:t>
      </w:r>
      <w:r>
        <w:rPr>
          <w:color w:val="1F2937"/>
          <w:sz w:val="22"/>
          <w:szCs w:val="22"/>
        </w:rPr>
        <w:t xml:space="preserve">Ongeveer de helft van de duo's probeert er een kwaliteitsscenario van te maken zonder eerst de vraag te stellen wat ermee bedoeld wordt. Grijp in met de doorvraag: “welke zorg zit hierachter — dat wijzigen te duur wordt, of dat u vastzit aan de kernadministratie?” Zodra dat onderscheid valt, komen er twee bruikbare scenario's uit.</w:t>
      </w:r>
    </w:p>
    <w:p>
      <w:pPr>
        <w:spacing w:after="160" w:line="276"/>
      </w:pPr>
      <w:r>
        <w:rPr>
          <w:b/>
          <w:bCs/>
          <w:color w:val="1F2937"/>
          <w:sz w:val="22"/>
          <w:szCs w:val="22"/>
        </w:rPr>
        <w:t xml:space="preserve">Bespreek plenair alleen eis 4 en eis 11.</w:t>
      </w:r>
      <w:r>
        <w:rPr>
          <w:color w:val="1F2937"/>
          <w:sz w:val="22"/>
          <w:szCs w:val="22"/>
        </w:rPr>
        <w:t xml:space="preserve"/>
      </w:r>
    </w:p>
    <w:p>
      <w:pPr>
        <w:pStyle w:val="ListParagraph"/>
        <w:numPr>
          <w:ilvl w:val="0"/>
          <w:numId w:val="3"/>
        </w:numPr>
        <w:spacing w:after="100"/>
      </w:pPr>
      <w:r>
        <w:rPr>
          <w:b/>
          <w:bCs/>
          <w:color w:val="1F2937"/>
          <w:sz w:val="22"/>
          <w:szCs w:val="22"/>
        </w:rPr>
        <w:t xml:space="preserve">Bij eis 4: </w:t>
      </w:r>
      <w:r>
        <w:rPr>
          <w:color w:val="1F2937"/>
          <w:sz w:val="22"/>
          <w:szCs w:val="22"/>
        </w:rPr>
        <w:t xml:space="preserve">het leerpunt is dat één vage term drie verschillende scenario's verbergt (interactief, batch, zoeken). Vraag naar het uitgesloten ontwerp — dat is de brug naar de hele rest van de cursus.</w:t>
      </w:r>
    </w:p>
    <w:p>
      <w:pPr>
        <w:pStyle w:val="ListParagraph"/>
        <w:numPr>
          <w:ilvl w:val="0"/>
          <w:numId w:val="3"/>
        </w:numPr>
        <w:spacing w:after="100"/>
      </w:pPr>
      <w:r>
        <w:rPr>
          <w:b/>
          <w:bCs/>
          <w:color w:val="1F2937"/>
          <w:sz w:val="22"/>
          <w:szCs w:val="22"/>
        </w:rPr>
        <w:t xml:space="preserve">Bij eis 11: </w:t>
      </w:r>
      <w:r>
        <w:rPr>
          <w:color w:val="1F2937"/>
          <w:sz w:val="22"/>
          <w:szCs w:val="22"/>
        </w:rPr>
        <w:t xml:space="preserve">het leerpunt is dat “aansluiten bij moderne standaarden in de markt” geen eis is maar een risico. Dit is B4 in de kiem, en het staat al in de aanbesteding. Groepen vinden dit sterk; laat het even staan.</w:t>
      </w:r>
    </w:p>
    <w:p>
      <w:pPr>
        <w:spacing w:after="160" w:line="276"/>
      </w:pPr>
      <w:r>
        <w:rPr>
          <w:b/>
          <w:bCs/>
          <w:color w:val="1F2937"/>
          <w:sz w:val="22"/>
          <w:szCs w:val="22"/>
        </w:rPr>
        <w:t xml:space="preserve">Als de tijd knelt: </w:t>
      </w:r>
      <w:r>
        <w:rPr>
          <w:color w:val="1F2937"/>
          <w:sz w:val="22"/>
          <w:szCs w:val="22"/>
        </w:rPr>
        <w:t xml:space="preserve">laat eis 7 vallen, niet eis 11.</w:t>
      </w:r>
    </w:p>
    <w:p>
      <w:pPr>
        <w:pStyle w:val="Heading2"/>
        <w:spacing w:after="140" w:before="260"/>
      </w:pPr>
      <w:r>
        <w:rPr>
          <w:b/>
          <w:bCs/>
          <w:color w:val="4A6789"/>
          <w:sz w:val="24"/>
          <w:szCs w:val="24"/>
        </w:rPr>
        <w:t xml:space="preserve">3.8 De kwaliteitsboom en opdracht 2.4 (55 minuten totaal)</w:t>
      </w:r>
    </w:p>
    <w:p>
      <w:pPr>
        <w:spacing w:after="160" w:line="276"/>
      </w:pPr>
      <w:r>
        <w:rPr>
          <w:color w:val="1F2937"/>
          <w:sz w:val="22"/>
          <w:szCs w:val="22"/>
        </w:rPr>
        <w:t xml:space="preserve">Dit is het zwaartepunt. Beknib er niet op.</w:t>
      </w:r>
    </w:p>
    <w:p>
      <w:pPr>
        <w:spacing w:after="160" w:line="276"/>
      </w:pPr>
      <w:r>
        <w:rPr>
          <w:b/>
          <w:bCs/>
          <w:color w:val="1F2937"/>
          <w:sz w:val="22"/>
          <w:szCs w:val="22"/>
        </w:rPr>
        <w:t xml:space="preserve">Introductie (15 min). </w:t>
      </w:r>
      <w:r>
        <w:rPr>
          <w:color w:val="1F2937"/>
          <w:sz w:val="22"/>
          <w:szCs w:val="22"/>
        </w:rPr>
        <w:t xml:space="preserve">Twee assen, vier kwadranten. Het kwadrant dat uitleg vraagt is (L, H): veel moeite voor iets wat niemand echt wil. Geef het UPO-voorbeeld uit de uitwerking (een geërfd getal van 10.000 gelijktijdige gebruikers dat óf onzin is óf een gemiste drijver verbergt).</w:t>
      </w:r>
    </w:p>
    <w:p>
      <w:pPr>
        <w:spacing w:after="160" w:line="276"/>
      </w:pPr>
      <w:r>
        <w:rPr>
          <w:b/>
          <w:bCs/>
          <w:color w:val="1F2937"/>
          <w:sz w:val="22"/>
          <w:szCs w:val="22"/>
        </w:rPr>
        <w:t xml:space="preserve">Uitvoering (40 min). </w:t>
      </w:r>
      <w:r>
        <w:rPr>
          <w:color w:val="1F2937"/>
          <w:sz w:val="22"/>
          <w:szCs w:val="22"/>
        </w:rPr>
        <w:t xml:space="preserve">Groepen van vier. Loop langs met drie interventies:</w:t>
      </w:r>
    </w:p>
    <w:p>
      <w:pPr>
        <w:pStyle w:val="ListParagraph"/>
        <w:numPr>
          <w:ilvl w:val="0"/>
          <w:numId w:val="4"/>
        </w:numPr>
        <w:spacing w:after="120"/>
      </w:pPr>
      <w:r>
        <w:rPr>
          <w:b/>
          <w:bCs/>
          <w:color w:val="1F2937"/>
          <w:sz w:val="22"/>
          <w:szCs w:val="22"/>
        </w:rPr>
        <w:t xml:space="preserve">Groep schrapt niets. </w:t>
      </w:r>
      <w:r>
        <w:rPr>
          <w:color w:val="1F2937"/>
          <w:sz w:val="22"/>
          <w:szCs w:val="22"/>
        </w:rPr>
        <w:t xml:space="preserve">Vraag: “welke van deze acht mag falen zonder dat het programma stopt?” Als het antwoord “geen” is, is er niet geprioriteerd.</w:t>
      </w:r>
    </w:p>
    <w:p>
      <w:pPr>
        <w:pStyle w:val="ListParagraph"/>
        <w:numPr>
          <w:ilvl w:val="0"/>
          <w:numId w:val="4"/>
        </w:numPr>
        <w:spacing w:after="120"/>
      </w:pPr>
      <w:r>
        <w:rPr>
          <w:b/>
          <w:bCs/>
          <w:color w:val="1F2937"/>
          <w:sz w:val="22"/>
          <w:szCs w:val="22"/>
        </w:rPr>
        <w:t xml:space="preserve">Groep scoort alles op belang H. </w:t>
      </w:r>
      <w:r>
        <w:rPr>
          <w:color w:val="1F2937"/>
          <w:sz w:val="22"/>
          <w:szCs w:val="22"/>
        </w:rPr>
        <w:t xml:space="preserve">Zelfde interventie, andere formulering: “als we dit scenario niet halen, gaat het programma dan door?” Bij een echte H is het antwoord nee.</w:t>
      </w:r>
    </w:p>
    <w:p>
      <w:pPr>
        <w:pStyle w:val="ListParagraph"/>
        <w:numPr>
          <w:ilvl w:val="0"/>
          <w:numId w:val="4"/>
        </w:numPr>
        <w:spacing w:after="120"/>
      </w:pPr>
      <w:r>
        <w:rPr>
          <w:b/>
          <w:bCs/>
          <w:color w:val="1F2937"/>
          <w:sz w:val="22"/>
          <w:szCs w:val="22"/>
        </w:rPr>
        <w:t xml:space="preserve">Groep onderschat het risico van QS-3 (wijzigbaarheid). </w:t>
      </w:r>
      <w:r>
        <w:rPr>
          <w:color w:val="1F2937"/>
          <w:sz w:val="22"/>
          <w:szCs w:val="22"/>
        </w:rPr>
        <w:t xml:space="preserve">Standaardreactie is “modulair bouwen kunnen we wel”. Herinner aan maand elf: vijf weken, drie gebroken functies. Wijzigbaarheid is het attribuut dat het vaakst wordt overschat en het langzaamst zichtbaar faalt.</w:t>
      </w:r>
    </w:p>
    <w:p>
      <w:pPr>
        <w:spacing w:after="160" w:line="276"/>
      </w:pPr>
      <w:r>
        <w:rPr>
          <w:b/>
          <w:bCs/>
          <w:color w:val="1F2937"/>
          <w:sz w:val="22"/>
          <w:szCs w:val="22"/>
        </w:rPr>
        <w:t xml:space="preserve">Presentatie (binnen de 40 min). </w:t>
      </w:r>
      <w:r>
        <w:rPr>
          <w:color w:val="1F2937"/>
          <w:sz w:val="22"/>
          <w:szCs w:val="22"/>
        </w:rPr>
        <w:t xml:space="preserve">Vier drijvers plus één onderbouwde schrapping, twee minuten per groep. De schrapping is het interessantst — laat ze die verdedigen.</w:t>
      </w:r>
    </w:p>
    <w:p>
      <w:pPr>
        <w:pStyle w:val="Heading2"/>
        <w:spacing w:after="140" w:before="260"/>
      </w:pPr>
      <w:r>
        <w:rPr>
          <w:b/>
          <w:bCs/>
          <w:color w:val="4A6789"/>
          <w:sz w:val="24"/>
          <w:szCs w:val="24"/>
        </w:rPr>
        <w:t xml:space="preserve">3.9 Trade-offs (slides 30–32)</w:t>
      </w:r>
    </w:p>
    <w:p>
      <w:pPr>
        <w:spacing w:after="160" w:line="276"/>
      </w:pPr>
      <w:r>
        <w:rPr>
          <w:b/>
          <w:bCs/>
          <w:color w:val="1F2937"/>
          <w:sz w:val="22"/>
          <w:szCs w:val="22"/>
        </w:rPr>
        <w:t xml:space="preserve">Slide 32, punt 4 (de herzieningsgrens), is de kern van dit blok. </w:t>
      </w:r>
      <w:r>
        <w:rPr>
          <w:color w:val="1F2937"/>
          <w:sz w:val="22"/>
          <w:szCs w:val="22"/>
        </w:rPr>
        <w:t xml:space="preserve">Vrijwel niemand schrijft die op in de praktijk. Het argument dat aankomt: een trade-off zonder herzieningsgrens wordt na twee jaar een onbegrepen eigenaardigheid van het systeem, en degene die hem dan tegenkomt, draait hem terug zonder te weten waarom hij er stond.</w:t>
      </w:r>
    </w:p>
    <w:p>
      <w:pPr>
        <w:spacing w:after="160" w:line="276"/>
      </w:pPr>
      <w:r>
        <w:rPr>
          <w:color w:val="1F2937"/>
          <w:sz w:val="22"/>
          <w:szCs w:val="22"/>
        </w:rPr>
        <w:t xml:space="preserve">Doe het QS-1/QS-4-voorbeeld uit de reader volledig voor, in vier delen. Als u opdracht 2.5 doet, doe dan alléén het conflict voor en laat de rest schrijven.</w:t>
      </w:r>
    </w:p>
    <w:p>
      <w:pPr>
        <w:pStyle w:val="Heading2"/>
        <w:spacing w:after="140" w:before="260"/>
      </w:pPr>
      <w:r>
        <w:rPr>
          <w:b/>
          <w:bCs/>
          <w:color w:val="4A6789"/>
          <w:sz w:val="24"/>
          <w:szCs w:val="24"/>
        </w:rPr>
        <w:t xml:space="preserve">3.10 Terug naar B2 (slide 33)</w:t>
      </w:r>
    </w:p>
    <w:p>
      <w:pPr>
        <w:spacing w:after="160" w:line="276"/>
      </w:pPr>
      <w:r>
        <w:rPr>
          <w:color w:val="1F2937"/>
          <w:sz w:val="22"/>
          <w:szCs w:val="22"/>
        </w:rPr>
        <w:t xml:space="preserve">Sluit expliciet af met de bevinding. Twee punten die u niet mag overslaan:</w:t>
      </w:r>
    </w:p>
    <w:p>
      <w:pPr>
        <w:pStyle w:val="ListParagraph"/>
        <w:numPr>
          <w:ilvl w:val="0"/>
          <w:numId w:val="3"/>
        </w:numPr>
        <w:spacing w:after="100"/>
      </w:pPr>
      <w:r>
        <w:rPr>
          <w:b/>
          <w:bCs/>
          <w:color w:val="1F2937"/>
          <w:sz w:val="22"/>
          <w:szCs w:val="22"/>
        </w:rPr>
        <w:t xml:space="preserve">B5 is grotendeels een gevolg van B2. </w:t>
      </w:r>
      <w:r>
        <w:rPr>
          <w:color w:val="1F2937"/>
          <w:sz w:val="22"/>
          <w:szCs w:val="22"/>
        </w:rPr>
        <w:t xml:space="preserve">Wat geen norm heeft, wordt niet gemeten. Dat verband komt in deel 6 en 9 terug en de groep moet het nu al leggen.</w:t>
      </w:r>
    </w:p>
    <w:p>
      <w:pPr>
        <w:pStyle w:val="ListParagraph"/>
        <w:numPr>
          <w:ilvl w:val="0"/>
          <w:numId w:val="3"/>
        </w:numPr>
        <w:spacing w:after="100"/>
      </w:pPr>
      <w:r>
        <w:rPr>
          <w:b/>
          <w:bCs/>
          <w:color w:val="1F2937"/>
          <w:sz w:val="22"/>
          <w:szCs w:val="22"/>
        </w:rPr>
        <w:t xml:space="preserve">De bescheiden claim. </w:t>
      </w:r>
      <w:r>
        <w:rPr>
          <w:color w:val="1F2937"/>
          <w:sz w:val="22"/>
          <w:szCs w:val="22"/>
        </w:rPr>
        <w:t xml:space="preserve">Goede scenario's garanderen geen goed ontwerp; ze garanderen dat een slecht ontwerp op tijd zichtbaar wordt. Overdrijf de claim niet — deelnemers met veel praktijkervaring prikken door beloftes heen en u hebt hun vertrouwen nodig voor deel 5 en 9.</w:t>
      </w:r>
    </w:p>
    <w:p>
      <w:pPr>
        <w:pStyle w:val="Heading1"/>
        <w:pBdr>
          <w:bottom w:val="single" w:color="E5E7EB" w:sz="6" w:space="6"/>
        </w:pBdr>
        <w:spacing w:after="180" w:before="380"/>
      </w:pPr>
      <w:r>
        <w:rPr>
          <w:b/>
          <w:bCs/>
          <w:color w:val="1F3A5F"/>
          <w:sz w:val="30"/>
          <w:szCs w:val="30"/>
        </w:rPr>
        <w:t xml:space="preserve">4. Omgaan met bijzondere situaties</w:t>
      </w:r>
    </w:p>
    <w:p>
      <w:pPr>
        <w:spacing w:after="160" w:line="276"/>
      </w:pPr>
      <w:r>
        <w:rPr>
          <w:b/>
          <w:bCs/>
          <w:color w:val="1F2937"/>
          <w:sz w:val="22"/>
          <w:szCs w:val="22"/>
        </w:rPr>
        <w:t xml:space="preserve">“Bij ons stelt de klant de eisen op; wij krijgen ze zo aangeleverd.” </w:t>
      </w:r>
      <w:r>
        <w:rPr>
          <w:color w:val="1F2937"/>
          <w:sz w:val="22"/>
          <w:szCs w:val="22"/>
        </w:rPr>
        <w:t xml:space="preserve">Veelgehoord bij consultants en bij leveranciers. De reactie: dat is precies de positie waarin de leverancier van Mutatie 1.0 zat, en zij hebben zich eraan gehouden. Het formuleren van scenario's is geen inbreuk op de rol van de opdrachtgever — het formuleren doet u, het prioriteren doet hij. Dat onderscheid (paragraaf 2.8) is de bruikbaarste zin van dit dagdeel voor deze groep.</w:t>
      </w:r>
    </w:p>
    <w:p>
      <w:pPr>
        <w:spacing w:after="160" w:line="276"/>
      </w:pPr>
      <w:r>
        <w:rPr>
          <w:b/>
          <w:bCs/>
          <w:color w:val="1F2937"/>
          <w:sz w:val="22"/>
          <w:szCs w:val="22"/>
        </w:rPr>
        <w:t xml:space="preserve">De discussie “99,9% is toch een prima eis”. </w:t>
      </w:r>
      <w:r>
        <w:rPr>
          <w:color w:val="1F2937"/>
          <w:sz w:val="22"/>
          <w:szCs w:val="22"/>
        </w:rPr>
        <w:t xml:space="preserve">Komt bijna altijd. Het antwoord: 99,9% is een getal zonder scenario — het zegt niet wat er gebeurt bij uitval, wanneer beschikbaarheid ertoe doet, of hoe snel hersteld moet worden. Voeg randvoorwaarde 8 toe (geen nachtbezetting) en de eis valt uit elkaar: 99,9% jaarlijks toegestaan verlies is ongeveer 9 uur, en één storing om 23:00 die tot 07:30 blijft liggen verbruikt dat vrijwel volledig. Dit rekensommetje overtuigt beter dan het argument.</w:t>
      </w:r>
    </w:p>
    <w:p>
      <w:pPr>
        <w:spacing w:after="160" w:line="276"/>
      </w:pPr>
      <w:r>
        <w:rPr>
          <w:b/>
          <w:bCs/>
          <w:color w:val="1F2937"/>
          <w:sz w:val="22"/>
          <w:szCs w:val="22"/>
        </w:rPr>
        <w:t xml:space="preserve">Een deelnemer wil metrieken voor onderhoudbaarheid </w:t>
      </w:r>
      <w:r>
        <w:rPr>
          <w:color w:val="1F2937"/>
          <w:sz w:val="22"/>
          <w:szCs w:val="22"/>
        </w:rPr>
        <w:t xml:space="preserve">(cyclomatische complexiteit, testdekking). Neem het serieus, maar houd de lijn uit de reader vast: metrieken zijn nuttig als indicator, niet als eis, omdat niemand kan aangeven welke waarde goed genoeg is. Het scenario (“nieuwe mutatiesoort binnen 10 werkdagen door een team dat het systeem kent”) is de eis; de metriek is hooguit een vroegwaarschuwing. Verwijs naar deel 9.</w:t>
      </w:r>
    </w:p>
    <w:p>
      <w:pPr>
        <w:spacing w:after="160" w:line="276"/>
      </w:pPr>
      <w:r>
        <w:rPr>
          <w:b/>
          <w:bCs/>
          <w:color w:val="1F2937"/>
          <w:sz w:val="22"/>
          <w:szCs w:val="22"/>
        </w:rPr>
        <w:t xml:space="preserve">De groep is klaar met de casus </w:t>
      </w:r>
      <w:r>
        <w:rPr>
          <w:color w:val="1F2937"/>
          <w:sz w:val="22"/>
          <w:szCs w:val="22"/>
        </w:rPr>
        <w:t xml:space="preserve">en wil over hun eigen werk praten. Dat is een goed teken en een risico. Laat het toe in opdracht 2.6 en bij de terugkoppelingen, en bewaak dat de kwaliteitsboom over Meridiaan gaat — anders levert niemand vier vergelijkbare drijvers op en verliest deel 10 zijn gemeenschappelijke basis.</w:t>
      </w:r>
    </w:p>
    <w:p>
      <w:pPr>
        <w:pStyle w:val="Heading1"/>
        <w:pBdr>
          <w:bottom w:val="single" w:color="E5E7EB" w:sz="6" w:space="6"/>
        </w:pBdr>
        <w:spacing w:after="180" w:before="380"/>
      </w:pPr>
      <w:r>
        <w:rPr>
          <w:b/>
          <w:bCs/>
          <w:color w:val="1F3A5F"/>
          <w:sz w:val="30"/>
          <w:szCs w:val="30"/>
        </w:rPr>
        <w:t xml:space="preserve">5. Signalen om mee te nemen</w:t>
      </w:r>
    </w:p>
    <w:p>
      <w:pPr>
        <w:pStyle w:val="ListParagraph"/>
        <w:numPr>
          <w:ilvl w:val="0"/>
          <w:numId w:val="5"/>
        </w:numPr>
        <w:spacing w:after="120"/>
      </w:pPr>
      <w:r>
        <w:rPr>
          <w:b/>
          <w:bCs/>
          <w:color w:val="1F2937"/>
          <w:sz w:val="22"/>
          <w:szCs w:val="22"/>
        </w:rPr>
        <w:t xml:space="preserve">Wie formuleert responsmaten zonder percentiel of zonder omgeving? </w:t>
      </w:r>
      <w:r>
        <w:rPr>
          <w:color w:val="1F2937"/>
          <w:sz w:val="22"/>
          <w:szCs w:val="22"/>
        </w:rPr>
        <w:t xml:space="preserve">Komt in deel 9 in de problemen bij het evalueren.</w:t>
      </w:r>
    </w:p>
    <w:p>
      <w:pPr>
        <w:pStyle w:val="ListParagraph"/>
        <w:numPr>
          <w:ilvl w:val="0"/>
          <w:numId w:val="5"/>
        </w:numPr>
        <w:spacing w:after="120"/>
      </w:pPr>
      <w:r>
        <w:rPr>
          <w:b/>
          <w:bCs/>
          <w:color w:val="1F2937"/>
          <w:sz w:val="22"/>
          <w:szCs w:val="22"/>
        </w:rPr>
        <w:t xml:space="preserve">Wie scoort alles op belang H? </w:t>
      </w:r>
      <w:r>
        <w:rPr>
          <w:color w:val="1F2937"/>
          <w:sz w:val="22"/>
          <w:szCs w:val="22"/>
        </w:rPr>
        <w:t xml:space="preserve">Heeft moeite met prioriteren; let hierop bij de stijlkeuze in deel 5, waar hetzelfde patroon leidt tot “we nemen alle patronen mee”.</w:t>
      </w:r>
    </w:p>
    <w:p>
      <w:pPr>
        <w:pStyle w:val="ListParagraph"/>
        <w:numPr>
          <w:ilvl w:val="0"/>
          <w:numId w:val="5"/>
        </w:numPr>
        <w:spacing w:after="120"/>
      </w:pPr>
      <w:r>
        <w:rPr>
          <w:b/>
          <w:bCs/>
          <w:color w:val="1F2937"/>
          <w:sz w:val="22"/>
          <w:szCs w:val="22"/>
        </w:rPr>
        <w:t xml:space="preserve">Wie levert opdracht 2.7 niet in? </w:t>
      </w:r>
      <w:r>
        <w:rPr>
          <w:color w:val="1F2937"/>
          <w:sz w:val="22"/>
          <w:szCs w:val="22"/>
        </w:rPr>
        <w:t xml:space="preserve">Het capstonedossier loopt vanaf hier achter en dat is in deel 10 niet meer in te halen. Spreek deze deelnemers individueel aan, niet klassikaal.</w:t>
      </w:r>
    </w:p>
    <w:p>
      <w:pPr>
        <w:pStyle w:val="Heading1"/>
        <w:pBdr>
          <w:bottom w:val="single" w:color="E5E7EB" w:sz="6" w:space="6"/>
        </w:pBdr>
        <w:spacing w:after="180" w:before="380"/>
      </w:pPr>
      <w:r>
        <w:rPr>
          <w:b/>
          <w:bCs/>
          <w:color w:val="1F3A5F"/>
          <w:sz w:val="30"/>
          <w:szCs w:val="30"/>
        </w:rPr>
        <w:t xml:space="preserve">6. Benodigdheden</w:t>
      </w:r>
    </w:p>
    <w:p>
      <w:pPr>
        <w:pStyle w:val="ListParagraph"/>
        <w:numPr>
          <w:ilvl w:val="0"/>
          <w:numId w:val="3"/>
        </w:numPr>
        <w:spacing w:after="100"/>
      </w:pPr>
      <w:r>
        <w:rPr>
          <w:color w:val="1F2937"/>
          <w:sz w:val="22"/>
          <w:szCs w:val="22"/>
        </w:rPr>
        <w:t xml:space="preserve">Slidedeck deel 2</w:t>
      </w:r>
    </w:p>
    <w:p>
      <w:pPr>
        <w:pStyle w:val="ListParagraph"/>
        <w:numPr>
          <w:ilvl w:val="0"/>
          <w:numId w:val="3"/>
        </w:numPr>
        <w:spacing w:after="100"/>
      </w:pPr>
      <w:r>
        <w:rPr>
          <w:color w:val="1F2937"/>
          <w:sz w:val="22"/>
          <w:szCs w:val="22"/>
        </w:rPr>
        <w:t xml:space="preserve">Reader en werkboek, per deelnemer</w:t>
      </w:r>
    </w:p>
    <w:p>
      <w:pPr>
        <w:pStyle w:val="ListParagraph"/>
        <w:numPr>
          <w:ilvl w:val="0"/>
          <w:numId w:val="3"/>
        </w:numPr>
        <w:spacing w:after="100"/>
      </w:pPr>
      <w:r>
        <w:rPr>
          <w:color w:val="1F2937"/>
          <w:sz w:val="22"/>
          <w:szCs w:val="22"/>
        </w:rPr>
        <w:t xml:space="preserve">Bijlage D: aanbestedingsfragmenten Mutatie 1.0 (twaalf genummerde eisen)</w:t>
      </w:r>
    </w:p>
    <w:p>
      <w:pPr>
        <w:pStyle w:val="ListParagraph"/>
        <w:numPr>
          <w:ilvl w:val="0"/>
          <w:numId w:val="3"/>
        </w:numPr>
        <w:spacing w:after="100"/>
      </w:pPr>
      <w:r>
        <w:rPr>
          <w:color w:val="1F2937"/>
          <w:sz w:val="22"/>
          <w:szCs w:val="22"/>
        </w:rPr>
        <w:t xml:space="preserve">Bijlage E: verslag stakeholderinterviews Mutatie 2.0</w:t>
      </w:r>
    </w:p>
    <w:p>
      <w:pPr>
        <w:pStyle w:val="ListParagraph"/>
        <w:numPr>
          <w:ilvl w:val="0"/>
          <w:numId w:val="3"/>
        </w:numPr>
        <w:spacing w:after="100"/>
      </w:pPr>
      <w:r>
        <w:rPr>
          <w:color w:val="1F2937"/>
          <w:sz w:val="22"/>
          <w:szCs w:val="22"/>
        </w:rPr>
        <w:t xml:space="preserve">Bijlage F: incidentenlijst acceptatieomgeving (18 incidenten) — bruikbaar voor groepen die realistische scenario's willen afleiden uit wat er werkelijk misging</w:t>
      </w:r>
    </w:p>
    <w:p>
      <w:pPr>
        <w:pStyle w:val="ListParagraph"/>
        <w:numPr>
          <w:ilvl w:val="0"/>
          <w:numId w:val="3"/>
        </w:numPr>
        <w:spacing w:after="100"/>
      </w:pPr>
      <w:r>
        <w:rPr>
          <w:color w:val="1F2937"/>
          <w:sz w:val="22"/>
          <w:szCs w:val="22"/>
        </w:rPr>
        <w:t xml:space="preserve">Rolkaarten opdracht 2.3 (mutatiebehandelaar, security officer) — ook als u de opdracht niet plant; groepen vragen er soms om</w:t>
      </w:r>
    </w:p>
    <w:p>
      <w:pPr>
        <w:pStyle w:val="ListParagraph"/>
        <w:numPr>
          <w:ilvl w:val="0"/>
          <w:numId w:val="3"/>
        </w:numPr>
        <w:spacing w:after="100"/>
      </w:pPr>
      <w:r>
        <w:rPr>
          <w:color w:val="1F2937"/>
          <w:sz w:val="22"/>
          <w:szCs w:val="22"/>
        </w:rPr>
        <w:t xml:space="preserve">Flip-over met de parkeerlijst uit deel 1 — voeg vandaag de genoemde eigen aannames toe</w:t>
      </w:r>
    </w:p>
    <w:p>
      <w:pPr>
        <w:pStyle w:val="ListParagraph"/>
        <w:numPr>
          <w:ilvl w:val="0"/>
          <w:numId w:val="3"/>
        </w:numPr>
        <w:spacing w:after="100"/>
      </w:pPr>
      <w:r>
        <w:rPr>
          <w:color w:val="1F2937"/>
          <w:sz w:val="22"/>
          <w:szCs w:val="22"/>
        </w:rPr>
        <w:t xml:space="preserve">Grote vellen of digitaal bord voor de kwaliteitsbomen; deze worden gefotografeerd en bewaard tot deel 9</w:t>
      </w:r>
    </w:p>
    <w:p>
      <w:pPr>
        <w:pStyle w:val="Heading1"/>
        <w:pBdr>
          <w:bottom w:val="single" w:color="E5E7EB" w:sz="6" w:space="6"/>
        </w:pBdr>
        <w:spacing w:after="180" w:before="380"/>
      </w:pPr>
      <w:r>
        <w:rPr>
          <w:b/>
          <w:bCs/>
          <w:color w:val="1F3A5F"/>
          <w:sz w:val="30"/>
          <w:szCs w:val="30"/>
        </w:rPr>
        <w:t xml:space="preserve">7. Aansluiting op het volgende deel</w:t>
      </w:r>
    </w:p>
    <w:p>
      <w:pPr>
        <w:spacing w:after="160" w:line="276"/>
      </w:pPr>
      <w:r>
        <w:rPr>
          <w:color w:val="1F2937"/>
          <w:sz w:val="22"/>
          <w:szCs w:val="22"/>
        </w:rPr>
        <w:t xml:space="preserve">Deel 3 gaat over ontwerpprincipes: koppeling, cohesie, information hiding, conceptual integrity. De brug die u legt: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We hebben nu vier drijvers waarop we ontwerpen. QS-3 — een nieuwe mutatiesoort binnen tien werkdagen zonder bestaande soorten te raken — is de drijver waarvan het antwoord het minst voor de hand ligt. Dat antwoord heet koppeling en cohesie, en dat is volgende keer. Het is ook bevinding B3.</w:t>
            </w:r>
          </w:p>
        </w:tc>
      </w:tr>
    </w:tbl>
    <w:p>
      <w:pPr>
        <w:pBdr>
          <w:top w:val="single" w:color="E5E7EB" w:sz="4" w:space="8"/>
        </w:pBdr>
        <w:spacing w:before="400"/>
        <w:jc w:val="center"/>
      </w:pPr>
      <w:r>
        <w:rPr>
          <w:i/>
          <w:iCs/>
          <w:color w:val="6B7280"/>
          <w:sz w:val="17"/>
          <w:szCs w:val="17"/>
        </w:rPr>
        <w:t xml:space="preserve">Ductus B.V.  ·  Cursus Softwarearchitectuur  ·  Niveau 1, deel 2  ·  Docentenhandleiding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1, deel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2026-08-17T14:07:51.683Z</dcterms:created>
  <dcterms:modified xsi:type="dcterms:W3CDTF">2026-08-17T14:07:51.685Z</dcterms:modified>
</cp:coreProperties>
</file>

<file path=docProps/custom.xml><?xml version="1.0" encoding="utf-8"?>
<Properties xmlns="http://schemas.openxmlformats.org/officeDocument/2006/custom-properties" xmlns:vt="http://schemas.openxmlformats.org/officeDocument/2006/docPropsVTypes"/>
</file>