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 — Van eisen naar architectuur</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1 (CPSA-F) · Deel 2 van 10</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D: fragmenten uit het aanbestedingsdocument Mutatie 1.0 (2 pagina's, twaalf genummerde eisen)</w:t>
      </w:r>
    </w:p>
    <w:p>
      <w:pPr>
        <w:pStyle w:val="ListParagraph"/>
        <w:numPr>
          <w:ilvl w:val="0"/>
          <w:numId w:val="2"/>
        </w:numPr>
        <w:spacing w:after="100"/>
      </w:pPr>
      <w:r>
        <w:rPr>
          <w:color w:val="1F2937"/>
          <w:sz w:val="22"/>
          <w:szCs w:val="22"/>
        </w:rPr>
        <w:t xml:space="preserve">Bijlage E: verslag stakeholderinterviews Mutatie 2.0 (6 pagina's — deelnemer, mutatiebehandelaar, beheer, security officer, compliance, pakketleverancier)</w:t>
      </w:r>
    </w:p>
    <w:p>
      <w:pPr>
        <w:pStyle w:val="ListParagraph"/>
        <w:numPr>
          <w:ilvl w:val="0"/>
          <w:numId w:val="2"/>
        </w:numPr>
        <w:spacing w:after="100"/>
      </w:pPr>
      <w:r>
        <w:rPr>
          <w:color w:val="1F2937"/>
          <w:sz w:val="22"/>
          <w:szCs w:val="22"/>
        </w:rPr>
        <w:t xml:space="preserve">Bijlage F: incidentenlijst Mutatie 1.0 acceptatieomgeving (18 incidenten)</w:t>
      </w:r>
    </w:p>
    <w:p>
      <w:pPr>
        <w:pStyle w:val="ListParagraph"/>
        <w:numPr>
          <w:ilvl w:val="0"/>
          <w:numId w:val="2"/>
        </w:numPr>
        <w:spacing w:after="100"/>
      </w:pPr>
      <w:r>
        <w:rPr>
          <w:color w:val="1F2937"/>
          <w:sz w:val="22"/>
          <w:szCs w:val="22"/>
        </w:rPr>
        <w:t xml:space="preserve">Uw uitwerking van opdracht 1.5 (eigen systeem)</w:t>
      </w:r>
    </w:p>
    <w:p>
      <w:pPr>
        <w:pStyle w:val="Heading1"/>
        <w:pBdr>
          <w:bottom w:val="single" w:color="E5E7EB" w:sz="6" w:space="6"/>
        </w:pBdr>
        <w:spacing w:after="180" w:before="380"/>
      </w:pPr>
      <w:r>
        <w:rPr>
          <w:b/>
          <w:bCs/>
          <w:color w:val="1F3A5F"/>
          <w:sz w:val="30"/>
          <w:szCs w:val="30"/>
        </w:rPr>
        <w:t xml:space="preserve">Opdracht 2.1 — Eis, randvoorwaarde of aanname? (individueel, 15 minuten)</w:t>
      </w:r>
    </w:p>
    <w:p>
      <w:pPr>
        <w:spacing w:after="160" w:line="276"/>
      </w:pPr>
      <w:r>
        <w:rPr>
          <w:color w:val="1F2937"/>
          <w:sz w:val="22"/>
          <w:szCs w:val="22"/>
        </w:rPr>
        <w:t xml:space="preserve">Classificeer de onderstaande vijftien uitspraken uit het Mutatie 2.0-dossier. Kies per uitspraak: functionele eis (FE), kwaliteitseis (KE), randvoorwaarde (RV) of aanname (AN). Noteer bij elke aanname wie hem zou moeten toetsen en wanneer.</w:t>
      </w:r>
    </w:p>
    <w:tbl>
      <w:tblPr>
        <w:tblW w:type="dxa" w:w="93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8800"/>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8800"/>
            <w:shd w:fill="1F3A5F" w:val="clear"/>
            <w:tcMar>
              <w:top w:type="dxa" w:w="100"/>
              <w:left w:type="dxa" w:w="120"/>
              <w:bottom w:type="dxa" w:w="100"/>
              <w:right w:type="dxa" w:w="120"/>
            </w:tcMar>
            <w:vAlign w:val="center"/>
          </w:tcPr>
          <w:p>
            <w:r>
              <w:rPr>
                <w:b/>
                <w:bCs/>
                <w:color w:val="FFFFFF"/>
                <w:sz w:val="19"/>
                <w:szCs w:val="19"/>
              </w:rPr>
              <w:t xml:space="preserve">Uitspraak</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8800"/>
            <w:tcMar>
              <w:top w:type="dxa" w:w="100"/>
              <w:left w:type="dxa" w:w="120"/>
              <w:bottom w:type="dxa" w:w="100"/>
              <w:right w:type="dxa" w:w="120"/>
            </w:tcMar>
            <w:vAlign w:val="center"/>
          </w:tcPr>
          <w:p>
            <w:r>
              <w:rPr>
                <w:b w:val="false"/>
                <w:bCs w:val="false"/>
                <w:color w:val="1F2937"/>
                <w:sz w:val="19"/>
                <w:szCs w:val="19"/>
              </w:rPr>
              <w:t xml:space="preserve">Het systeem registreert scheidingsmutaties inclusief de gegevens van de ex-partner.</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8800"/>
            <w:tcMar>
              <w:top w:type="dxa" w:w="100"/>
              <w:left w:type="dxa" w:w="120"/>
              <w:bottom w:type="dxa" w:w="100"/>
              <w:right w:type="dxa" w:w="120"/>
            </w:tcMar>
            <w:vAlign w:val="center"/>
          </w:tcPr>
          <w:p>
            <w:r>
              <w:rPr>
                <w:b w:val="false"/>
                <w:bCs w:val="false"/>
                <w:color w:val="1F2937"/>
                <w:sz w:val="19"/>
                <w:szCs w:val="19"/>
              </w:rPr>
              <w:t xml:space="preserve">De kernadministratie is uitsluitend benaderbaar via het bestaande SOAP-koppelvlak.</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8800"/>
            <w:tcMar>
              <w:top w:type="dxa" w:w="100"/>
              <w:left w:type="dxa" w:w="120"/>
              <w:bottom w:type="dxa" w:w="100"/>
              <w:right w:type="dxa" w:w="120"/>
            </w:tcMar>
            <w:vAlign w:val="center"/>
          </w:tcPr>
          <w:p>
            <w:r>
              <w:rPr>
                <w:b w:val="false"/>
                <w:bCs w:val="false"/>
                <w:color w:val="1F2937"/>
                <w:sz w:val="19"/>
                <w:szCs w:val="19"/>
              </w:rPr>
              <w:t xml:space="preserve">Deelnemers loggen gemiddeld tweemaal per jaar in.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8800"/>
            <w:tcMar>
              <w:top w:type="dxa" w:w="100"/>
              <w:left w:type="dxa" w:w="120"/>
              <w:bottom w:type="dxa" w:w="100"/>
              <w:right w:type="dxa" w:w="120"/>
            </w:tcMar>
            <w:vAlign w:val="center"/>
          </w:tcPr>
          <w:p>
            <w:r>
              <w:rPr>
                <w:b w:val="false"/>
                <w:bCs w:val="false"/>
                <w:color w:val="1F2937"/>
                <w:sz w:val="19"/>
                <w:szCs w:val="19"/>
              </w:rPr>
              <w:t xml:space="preserve">Een mutatie moet zeven jaar reconstrueerbaar zijn, inclusief goedkeurder.</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8800"/>
            <w:tcMar>
              <w:top w:type="dxa" w:w="100"/>
              <w:left w:type="dxa" w:w="120"/>
              <w:bottom w:type="dxa" w:w="100"/>
              <w:right w:type="dxa" w:w="120"/>
            </w:tcMar>
            <w:vAlign w:val="center"/>
          </w:tcPr>
          <w:p>
            <w:r>
              <w:rPr>
                <w:b w:val="false"/>
                <w:bCs w:val="false"/>
                <w:color w:val="1F2937"/>
                <w:sz w:val="19"/>
                <w:szCs w:val="19"/>
              </w:rPr>
              <w:t xml:space="preserve">Nieuwe mutatiesoorten worden ongeveer eens per kwartaal toegevoegd.</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8800"/>
            <w:tcMar>
              <w:top w:type="dxa" w:w="100"/>
              <w:left w:type="dxa" w:w="120"/>
              <w:bottom w:type="dxa" w:w="100"/>
              <w:right w:type="dxa" w:w="120"/>
            </w:tcMar>
            <w:vAlign w:val="center"/>
          </w:tcPr>
          <w:p>
            <w:r>
              <w:rPr>
                <w:b w:val="false"/>
                <w:bCs w:val="false"/>
                <w:color w:val="1F2937"/>
                <w:sz w:val="19"/>
                <w:szCs w:val="19"/>
              </w:rPr>
              <w:t xml:space="preserve">Ontsluiting verloopt via de bestaande API-gateway van Meridiaan.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8800"/>
            <w:tcMar>
              <w:top w:type="dxa" w:w="100"/>
              <w:left w:type="dxa" w:w="120"/>
              <w:bottom w:type="dxa" w:w="100"/>
              <w:right w:type="dxa" w:w="120"/>
            </w:tcMar>
            <w:vAlign w:val="center"/>
          </w:tcPr>
          <w:p>
            <w:r>
              <w:rPr>
                <w:b w:val="false"/>
                <w:bCs w:val="false"/>
                <w:color w:val="1F2937"/>
                <w:sz w:val="19"/>
                <w:szCs w:val="19"/>
              </w:rPr>
              <w:t xml:space="preserve">Het systeem toont de deelnemer de status van zijn lopende mutaties.</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8800"/>
            <w:tcMar>
              <w:top w:type="dxa" w:w="100"/>
              <w:left w:type="dxa" w:w="120"/>
              <w:bottom w:type="dxa" w:w="100"/>
              <w:right w:type="dxa" w:w="120"/>
            </w:tcMar>
            <w:vAlign w:val="center"/>
          </w:tcPr>
          <w:p>
            <w:r>
              <w:rPr>
                <w:b w:val="false"/>
                <w:bCs w:val="false"/>
                <w:color w:val="1F2937"/>
                <w:sz w:val="19"/>
                <w:szCs w:val="19"/>
              </w:rPr>
              <w:t xml:space="preserve">De beheerafdeling heeft 's nachts geen bezetting.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9</w:t>
            </w:r>
          </w:p>
        </w:tc>
        <w:tc>
          <w:tcPr>
            <w:tcW w:type="dxa" w:w="8800"/>
            <w:tcMar>
              <w:top w:type="dxa" w:w="100"/>
              <w:left w:type="dxa" w:w="120"/>
              <w:bottom w:type="dxa" w:w="100"/>
              <w:right w:type="dxa" w:w="120"/>
            </w:tcMar>
            <w:vAlign w:val="center"/>
          </w:tcPr>
          <w:p>
            <w:r>
              <w:rPr>
                <w:b w:val="false"/>
                <w:bCs w:val="false"/>
                <w:color w:val="1F2937"/>
                <w:sz w:val="19"/>
                <w:szCs w:val="19"/>
              </w:rPr>
              <w:t xml:space="preserve">Een adreswijziging is binnen 2 seconden bevestigd bij 50 gelijktijdige gebruikers.</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10</w:t>
            </w:r>
          </w:p>
        </w:tc>
        <w:tc>
          <w:tcPr>
            <w:tcW w:type="dxa" w:w="8800"/>
            <w:tcMar>
              <w:top w:type="dxa" w:w="100"/>
              <w:left w:type="dxa" w:w="120"/>
              <w:bottom w:type="dxa" w:w="100"/>
              <w:right w:type="dxa" w:w="120"/>
            </w:tcMar>
            <w:vAlign w:val="center"/>
          </w:tcPr>
          <w:p>
            <w:r>
              <w:rPr>
                <w:b w:val="false"/>
                <w:bCs w:val="false"/>
                <w:color w:val="1F2937"/>
                <w:sz w:val="19"/>
                <w:szCs w:val="19"/>
              </w:rPr>
              <w:t xml:space="preserve">Werkgevers leveren maximaal 4.000 mutaties per nachtelijke batch aan.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11</w:t>
            </w:r>
          </w:p>
        </w:tc>
        <w:tc>
          <w:tcPr>
            <w:tcW w:type="dxa" w:w="8800"/>
            <w:tcMar>
              <w:top w:type="dxa" w:w="100"/>
              <w:left w:type="dxa" w:w="120"/>
              <w:bottom w:type="dxa" w:w="100"/>
              <w:right w:type="dxa" w:w="120"/>
            </w:tcMar>
            <w:vAlign w:val="center"/>
          </w:tcPr>
          <w:p>
            <w:r>
              <w:rPr>
                <w:b w:val="false"/>
                <w:bCs w:val="false"/>
                <w:color w:val="1F2937"/>
                <w:sz w:val="19"/>
                <w:szCs w:val="19"/>
              </w:rPr>
              <w:t xml:space="preserve">Het koppelvlak van de kernadministratie verwerkt 20 aanroepen per seconde.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12</w:t>
            </w:r>
          </w:p>
        </w:tc>
        <w:tc>
          <w:tcPr>
            <w:tcW w:type="dxa" w:w="8800"/>
            <w:tcMar>
              <w:top w:type="dxa" w:w="100"/>
              <w:left w:type="dxa" w:w="120"/>
              <w:bottom w:type="dxa" w:w="100"/>
              <w:right w:type="dxa" w:w="120"/>
            </w:tcMar>
            <w:vAlign w:val="center"/>
          </w:tcPr>
          <w:p>
            <w:r>
              <w:rPr>
                <w:b w:val="false"/>
                <w:bCs w:val="false"/>
                <w:color w:val="1F2937"/>
                <w:sz w:val="19"/>
                <w:szCs w:val="19"/>
              </w:rPr>
              <w:t xml:space="preserve">Het systeem berekent de ingangsdatum van een partnerpensioenwijziging conform reglement.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13</w:t>
            </w:r>
          </w:p>
        </w:tc>
        <w:tc>
          <w:tcPr>
            <w:tcW w:type="dxa" w:w="8800"/>
            <w:tcMar>
              <w:top w:type="dxa" w:w="100"/>
              <w:left w:type="dxa" w:w="120"/>
              <w:bottom w:type="dxa" w:w="100"/>
              <w:right w:type="dxa" w:w="120"/>
            </w:tcMar>
            <w:vAlign w:val="center"/>
          </w:tcPr>
          <w:p>
            <w:r>
              <w:rPr>
                <w:b w:val="false"/>
                <w:bCs w:val="false"/>
                <w:color w:val="1F2937"/>
                <w:sz w:val="19"/>
                <w:szCs w:val="19"/>
              </w:rPr>
              <w:t xml:space="preserve">Er blijven twee ontwikkelteams; uitbreiding is niet voorzien.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14</w:t>
            </w:r>
          </w:p>
        </w:tc>
        <w:tc>
          <w:tcPr>
            <w:tcW w:type="dxa" w:w="8800"/>
            <w:tcMar>
              <w:top w:type="dxa" w:w="100"/>
              <w:left w:type="dxa" w:w="120"/>
              <w:bottom w:type="dxa" w:w="100"/>
              <w:right w:type="dxa" w:w="120"/>
            </w:tcMar>
            <w:vAlign w:val="center"/>
          </w:tcPr>
          <w:p>
            <w:r>
              <w:rPr>
                <w:b w:val="false"/>
                <w:bCs w:val="false"/>
                <w:color w:val="1F2937"/>
                <w:sz w:val="19"/>
                <w:szCs w:val="19"/>
              </w:rPr>
              <w:t xml:space="preserve">Gegevens die tot 24 uur oud zijn, volstaan voor de mutatiebehandelaar.</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15</w:t>
            </w:r>
          </w:p>
        </w:tc>
        <w:tc>
          <w:tcPr>
            <w:tcW w:type="dxa" w:w="8800"/>
            <w:tcMar>
              <w:top w:type="dxa" w:w="100"/>
              <w:left w:type="dxa" w:w="120"/>
              <w:bottom w:type="dxa" w:w="100"/>
              <w:right w:type="dxa" w:w="120"/>
            </w:tcMar>
            <w:vAlign w:val="center"/>
          </w:tcPr>
          <w:p>
            <w:r>
              <w:rPr>
                <w:b w:val="false"/>
                <w:bCs w:val="false"/>
                <w:color w:val="1F2937"/>
                <w:sz w:val="19"/>
                <w:szCs w:val="19"/>
              </w:rPr>
              <w:t xml:space="preserve">Een storing moet door de beheerafdeling gediagnosticeerd kunnen worden zonder de bouwer.</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2.1</w:t>
            </w:r>
          </w:p>
          <w:tbl>
            <w:tblPr>
              <w:tblW w:type="dxa" w:w="9300"/>
              <w:tblBorders>
                <w:top w:val="single" w:color="B45309" w:sz="4"/>
                <w:left w:val="single" w:color="B45309" w:sz="4"/>
                <w:bottom w:val="single" w:color="B45309" w:sz="4"/>
                <w:right w:val="single" w:color="B45309" w:sz="4"/>
                <w:insideH w:val="single" w:color="E5E7EB" w:sz="4"/>
                <w:insideV w:val="single" w:color="E5E7EB" w:sz="4"/>
              </w:tblBorders>
              <w:tblLayout w:type="fixed"/>
            </w:tblPr>
            <w:tblGrid>
              <w:gridCol w:w="500"/>
              <w:gridCol w:w="1400"/>
              <w:gridCol w:w="7400"/>
            </w:tblGrid>
            <w:tr>
              <w:trPr>
                <w:tblHeader/>
              </w:trPr>
              <w:tc>
                <w:tcPr>
                  <w:tcW w:type="dxa" w:w="500"/>
                  <w:shd w:fill="B45309" w:val="clear"/>
                  <w:tcMar>
                    <w:top w:type="dxa" w:w="90"/>
                    <w:left w:type="dxa" w:w="110"/>
                    <w:bottom w:type="dxa" w:w="90"/>
                    <w:right w:type="dxa" w:w="110"/>
                  </w:tcMar>
                  <w:vAlign w:val="center"/>
                </w:tcPr>
                <w:p>
                  <w:r>
                    <w:rPr>
                      <w:b/>
                      <w:bCs/>
                      <w:color w:val="FFFFFF"/>
                      <w:sz w:val="18"/>
                      <w:szCs w:val="18"/>
                    </w:rPr>
                    <w:t xml:space="preserve">#</w:t>
                  </w:r>
                </w:p>
              </w:tc>
              <w:tc>
                <w:tcPr>
                  <w:tcW w:type="dxa" w:w="1400"/>
                  <w:shd w:fill="B45309" w:val="clear"/>
                  <w:tcMar>
                    <w:top w:type="dxa" w:w="90"/>
                    <w:left w:type="dxa" w:w="110"/>
                    <w:bottom w:type="dxa" w:w="90"/>
                    <w:right w:type="dxa" w:w="110"/>
                  </w:tcMar>
                  <w:vAlign w:val="center"/>
                </w:tcPr>
                <w:p>
                  <w:r>
                    <w:rPr>
                      <w:b/>
                      <w:bCs/>
                      <w:color w:val="FFFFFF"/>
                      <w:sz w:val="18"/>
                      <w:szCs w:val="18"/>
                    </w:rPr>
                    <w:t xml:space="preserve">Type</w:t>
                  </w:r>
                </w:p>
              </w:tc>
              <w:tc>
                <w:tcPr>
                  <w:tcW w:type="dxa" w:w="7400"/>
                  <w:shd w:fill="B45309" w:val="clear"/>
                  <w:tcMar>
                    <w:top w:type="dxa" w:w="90"/>
                    <w:left w:type="dxa" w:w="110"/>
                    <w:bottom w:type="dxa" w:w="90"/>
                    <w:right w:type="dxa" w:w="110"/>
                  </w:tcMar>
                  <w:vAlign w:val="center"/>
                </w:tcPr>
                <w:p>
                  <w:r>
                    <w:rPr>
                      <w:b/>
                      <w:bCs/>
                      <w:color w:val="FFFFFF"/>
                      <w:sz w:val="18"/>
                      <w:szCs w:val="18"/>
                    </w:rPr>
                    <w:t xml:space="preserve">Toelichting</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1</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FE</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Wat het systeem doet.</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2</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RV</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Technisch, en binnen deze programmaperiode niet te veranderen.</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3</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AN</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Klinkt als feit, is een aanname tot iemand de inloggegevens uit het portaal haalt. Toetsen: productmanagement, binnen twee weken, uit de portaallogs. Van belang omdat er piekgedrag onder kan zitten (UPO-verzending!) dat het gemiddelde verbergt.</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4</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KE</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Aantoonbaarheid. Discriminerend: bepaalt of u eindtoestanden of gebeurtenissen bewaart.</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5</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AN</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Frequentieaanname die QS-3 rechtvaardigt. Toetsen: productmanagement, aan de hand van de laatste drie jaar.</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6</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RV</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Conventie / architectuurbeleid.</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7</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FE</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8</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RV</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Organisatorisch. Bepaalt of automatisch herstel nodig is of dat een storing tot de ochtend mag wachten — grote architectuurgevolgen.</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9</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KE</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Prestatie; de responsmaat ontbreekt nog (percentiel).</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10</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AN of RV</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Grensgeval, en een goede discussie. Als 4.000 het contractueel afgesproken maximum is: randvoorwaarde. Als het het historisch waargenomen maximum is: aanname — en dan moet u weten wat er gebeurt bij 12.000, bijvoorbeeld na een werkgeversovername.</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11</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RV</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Harde technische limiet — mits geverifieerd bij de leverancier. Is dat niet gebeurd, dan is het een aanname, en dat was in Mutatie 1.0 het geval.</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12</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FE</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13</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RV</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Organisatorisch. Dit is de randvoorwaarde die de stijlkeuze in deel 5 grotendeels bepaalt.</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14</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AN</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Dé aanname uit Mutatie 1.0. Nooit opgeschreven, nooit getoetst, onjuist gebleken (~400 gevallen per maand). Toetsen: mutatiebehandelaars + analyse op de mutatiehistorie.</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15</w:t>
                  </w:r>
                </w:p>
              </w:tc>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KE</w:t>
                  </w:r>
                </w:p>
              </w:tc>
              <w:tc>
                <w:tcPr>
                  <w:tcW w:type="dxa" w:w="7400"/>
                  <w:shd w:fill="FBF3EA" w:val="clear"/>
                  <w:tcMar>
                    <w:top w:type="dxa" w:w="90"/>
                    <w:left w:type="dxa" w:w="110"/>
                    <w:bottom w:type="dxa" w:w="90"/>
                    <w:right w:type="dxa" w:w="110"/>
                  </w:tcMar>
                  <w:vAlign w:val="center"/>
                </w:tcPr>
                <w:p>
                  <w:r>
                    <w:rPr>
                      <w:b w:val="false"/>
                      <w:bCs w:val="false"/>
                      <w:color w:val="1F2937"/>
                      <w:sz w:val="18"/>
                      <w:szCs w:val="18"/>
                    </w:rPr>
                    <w:t xml:space="preserve">Onderhoudbaarheid / analyseerbaarheid. Vraagt nog om een scenario met een responsmaat.</w:t>
                  </w:r>
                </w:p>
              </w:tc>
            </w:tr>
          </w:tbl>
          <w:p>
            <w:pPr>
              <w:spacing w:after="0" w:before="160"/>
            </w:pPr>
            <w:r>
              <w:rPr>
                <w:b/>
                <w:bCs/>
                <w:color w:val="1F2937"/>
                <w:sz w:val="20"/>
                <w:szCs w:val="20"/>
              </w:rPr>
              <w:t xml:space="preserve">Waar het om gaat. </w:t>
            </w:r>
            <w:r>
              <w:rPr>
                <w:color w:val="1F2937"/>
                <w:sz w:val="20"/>
                <w:szCs w:val="20"/>
              </w:rPr>
              <w:t xml:space="preserve">Vier van de vijftien zijn aannames, en drie daarvan zijn in Mutatie 1.0 als feit behandeld. Merk op dat uitspraken 3, 5, 10, 11 en 14 allemaal in dezelfde grammaticale vorm staan als de randvoorwaarden — de tegenwoordige tijd van de stellige mededeling. Dat is precies waarom ze onopgemerkt blijven. Een praktische controle: vraag bij elke stellige mededeling “wie heeft dat vastgesteld, en waaruit?”</w:t>
            </w:r>
          </w:p>
        </w:tc>
      </w:tr>
    </w:tbl>
    <w:p>
      <w:pPr>
        <w:pStyle w:val="Heading1"/>
        <w:pBdr>
          <w:bottom w:val="single" w:color="E5E7EB" w:sz="6" w:space="6"/>
        </w:pBdr>
        <w:spacing w:after="180" w:before="380"/>
      </w:pPr>
      <w:r>
        <w:rPr>
          <w:b/>
          <w:bCs/>
          <w:color w:val="1F3A5F"/>
          <w:sz w:val="30"/>
          <w:szCs w:val="30"/>
        </w:rPr>
        <w:t xml:space="preserve">Opdracht 2.2 — Van bijvoeglijk naamwoord naar scenario (duo's, 30 minuten)</w:t>
      </w:r>
    </w:p>
    <w:p>
      <w:pPr>
        <w:spacing w:after="160" w:line="276"/>
      </w:pPr>
      <w:r>
        <w:rPr>
          <w:color w:val="1F2937"/>
          <w:sz w:val="22"/>
          <w:szCs w:val="22"/>
        </w:rPr>
        <w:t xml:space="preserve">Bijlage D bevat de oorspronkelijke eisen uit de aanbesteding van Mutatie 1.0. Neem de drie hieronder en herschrijf ze elk als volledig zesdelig kwaliteitsscenario.</w:t>
      </w:r>
    </w:p>
    <w:p>
      <w:pPr>
        <w:spacing w:after="160" w:line="276"/>
      </w:pPr>
      <w:r>
        <w:rPr>
          <w:b/>
          <w:bCs/>
          <w:color w:val="1F2937"/>
          <w:sz w:val="21"/>
          <w:szCs w:val="21"/>
        </w:rPr>
        <w:t xml:space="preserve">Eis 4. </w:t>
      </w:r>
      <w:r>
        <w:rPr>
          <w:i/>
          <w:iCs/>
          <w:color w:val="1F2937"/>
          <w:sz w:val="21"/>
          <w:szCs w:val="21"/>
        </w:rPr>
        <w:t xml:space="preserve">“Het systeem dient te beschikken over goede performance.”</w:t>
      </w:r>
    </w:p>
    <w:p>
      <w:pPr>
        <w:spacing w:after="160" w:line="276"/>
      </w:pPr>
      <w:r>
        <w:rPr>
          <w:b/>
          <w:bCs/>
          <w:color w:val="1F2937"/>
          <w:sz w:val="21"/>
          <w:szCs w:val="21"/>
        </w:rPr>
        <w:t xml:space="preserve">Eis 7. </w:t>
      </w:r>
      <w:r>
        <w:rPr>
          <w:i/>
          <w:iCs/>
          <w:color w:val="1F2937"/>
          <w:sz w:val="21"/>
          <w:szCs w:val="21"/>
        </w:rPr>
        <w:t xml:space="preserve">“Het systeem kent een hoge beschikbaarheid.”</w:t>
      </w:r>
    </w:p>
    <w:p>
      <w:pPr>
        <w:spacing w:after="160" w:line="276"/>
      </w:pPr>
      <w:r>
        <w:rPr>
          <w:b/>
          <w:bCs/>
          <w:color w:val="1F2937"/>
          <w:sz w:val="21"/>
          <w:szCs w:val="21"/>
        </w:rPr>
        <w:t xml:space="preserve">Eis 11. </w:t>
      </w:r>
      <w:r>
        <w:rPr>
          <w:i/>
          <w:iCs/>
          <w:color w:val="1F2937"/>
          <w:sz w:val="21"/>
          <w:szCs w:val="21"/>
        </w:rPr>
        <w:t xml:space="preserve">“De opzet is toekomstvast en sluit aan bij moderne standaarden in de markt.”</w:t>
      </w:r>
    </w:p>
    <w:p>
      <w:pPr>
        <w:spacing w:after="160" w:line="276"/>
      </w:pPr>
      <w:r>
        <w:rPr>
          <w:color w:val="1F2937"/>
          <w:sz w:val="22"/>
          <w:szCs w:val="22"/>
        </w:rPr>
        <w:t xml:space="preserve">Voor elk scenario:</w:t>
      </w:r>
    </w:p>
    <w:p>
      <w:pPr>
        <w:pStyle w:val="ListParagraph"/>
        <w:numPr>
          <w:ilvl w:val="0"/>
          <w:numId w:val="3"/>
        </w:numPr>
        <w:spacing w:after="120"/>
      </w:pPr>
      <w:r>
        <w:rPr>
          <w:b/>
          <w:bCs/>
          <w:color w:val="1F2937"/>
          <w:sz w:val="22"/>
          <w:szCs w:val="22"/>
        </w:rPr>
        <w:t xml:space="preserve">a) </w:t>
      </w:r>
      <w:r>
        <w:rPr>
          <w:color w:val="1F2937"/>
          <w:sz w:val="22"/>
          <w:szCs w:val="22"/>
        </w:rPr>
        <w:t xml:space="preserve">vul de zes delen in (bron, stimulus, artefact, omgeving, respons, responsmaat);</w:t>
      </w:r>
    </w:p>
    <w:p>
      <w:pPr>
        <w:pStyle w:val="ListParagraph"/>
        <w:numPr>
          <w:ilvl w:val="0"/>
          <w:numId w:val="3"/>
        </w:numPr>
        <w:spacing w:after="120"/>
      </w:pPr>
      <w:r>
        <w:rPr>
          <w:b/>
          <w:bCs/>
          <w:color w:val="1F2937"/>
          <w:sz w:val="22"/>
          <w:szCs w:val="22"/>
        </w:rPr>
        <w:t xml:space="preserve">b) </w:t>
      </w:r>
      <w:r>
        <w:rPr>
          <w:color w:val="1F2937"/>
          <w:sz w:val="22"/>
          <w:szCs w:val="22"/>
        </w:rPr>
        <w:t xml:space="preserve">beoordeel uw eigen scenario op de vier toetsen uit paragraaf 2.5;</w:t>
      </w:r>
    </w:p>
    <w:p>
      <w:pPr>
        <w:pStyle w:val="ListParagraph"/>
        <w:numPr>
          <w:ilvl w:val="0"/>
          <w:numId w:val="3"/>
        </w:numPr>
        <w:spacing w:after="120"/>
      </w:pPr>
      <w:r>
        <w:rPr>
          <w:b/>
          <w:bCs/>
          <w:color w:val="1F2937"/>
          <w:sz w:val="22"/>
          <w:szCs w:val="22"/>
        </w:rPr>
        <w:t xml:space="preserve">c) </w:t>
      </w:r>
      <w:r>
        <w:rPr>
          <w:color w:val="1F2937"/>
          <w:sz w:val="22"/>
          <w:szCs w:val="22"/>
        </w:rPr>
        <w:t xml:space="preserve">benoem welk ontwerp uw scenario uitsluit. Als u geen enkel ontwerp kunt uitsluiten, is uw scenario niet discriminerend en moet u het aanscherpen.</w:t>
      </w:r>
    </w:p>
    <w:p>
      <w:pPr>
        <w:spacing w:after="160" w:line="276"/>
      </w:pPr>
      <w:r>
        <w:rPr>
          <w:color w:val="1F2937"/>
          <w:sz w:val="22"/>
          <w:szCs w:val="22"/>
        </w:rPr>
        <w:t xml:space="preserve">Eis 11 is bewust het lastigst. Wie er niet uitkomt: lees de eis niet als een kwaliteitseis maar als een verhulde wens, en zoek uit welke onderliggende zorg erachter zit.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2.2</w:t>
            </w:r>
          </w:p>
          <w:p>
            <w:pPr>
              <w:spacing w:after="120" w:line="276"/>
            </w:pPr>
            <w:r>
              <w:rPr>
                <w:b/>
                <w:bCs/>
                <w:color w:val="1F2937"/>
                <w:sz w:val="21"/>
                <w:szCs w:val="21"/>
              </w:rPr>
              <w:t xml:space="preserve">Eis 4 — “goede performance” </w:t>
            </w:r>
            <w:r>
              <w:rPr>
                <w:color w:val="1F2937"/>
                <w:sz w:val="21"/>
                <w:szCs w:val="21"/>
              </w:rPr>
              <w:t xml:space="preserve">kan op minstens drie verschillende scenario's uitkomen, en dat is het eerste leerpunt: één vage term verbergt meerdere eisen.</w:t>
            </w:r>
          </w:p>
          <w:p>
            <w:pPr>
              <w:spacing w:after="120" w:line="276"/>
            </w:pPr>
            <w:r>
              <w:rPr>
                <w:b/>
                <w:bCs/>
                <w:color w:val="1F2937"/>
                <w:sz w:val="21"/>
                <w:szCs w:val="21"/>
              </w:rPr>
              <w:t xml:space="preserve">Interactief: </w:t>
            </w:r>
            <w:r>
              <w:rPr>
                <w:color w:val="1F2937"/>
                <w:sz w:val="21"/>
                <w:szCs w:val="21"/>
              </w:rPr>
              <w:t xml:space="preserve">Een deelnemer dient via het zelfbedieningsportaal een adreswijziging in, in de spits bij 50 gelijktijdige gebruikers en een beschikbaar koppelvlak. Het systeem registreert en bevestigt binnen 2 seconden (p95) en 5 seconden (p99,5).</w:t>
            </w:r>
          </w:p>
          <w:p>
            <w:pPr>
              <w:spacing w:after="120" w:line="276"/>
            </w:pPr>
            <w:r>
              <w:rPr>
                <w:b/>
                <w:bCs/>
                <w:color w:val="1F2937"/>
                <w:sz w:val="21"/>
                <w:szCs w:val="21"/>
              </w:rPr>
              <w:t xml:space="preserve">Batch: </w:t>
            </w:r>
            <w:r>
              <w:rPr>
                <w:color w:val="1F2937"/>
                <w:sz w:val="21"/>
                <w:szCs w:val="21"/>
              </w:rPr>
              <w:t xml:space="preserve">Een werkgever levert 's nachts 4.000 mutaties aan. Het systeem verwerkt de volledige batch, inclusief foutrapportage, binnen het venster van 01:00 tot 05:00.</w:t>
            </w:r>
          </w:p>
          <w:p>
            <w:pPr>
              <w:spacing w:after="120" w:line="276"/>
            </w:pPr>
            <w:r>
              <w:rPr>
                <w:b/>
                <w:bCs/>
                <w:color w:val="1F2937"/>
                <w:sz w:val="21"/>
                <w:szCs w:val="21"/>
              </w:rPr>
              <w:t xml:space="preserve">Zoeken: </w:t>
            </w:r>
            <w:r>
              <w:rPr>
                <w:color w:val="1F2937"/>
                <w:sz w:val="21"/>
                <w:szCs w:val="21"/>
              </w:rPr>
              <w:t xml:space="preserve">Een mutatiebehandelaar zoekt een deelnemersdossier op achternaam en geboortejaar, bij 340.000 deelnemers. Het resultaat verschijnt binnen 1 seconde (p95).</w:t>
            </w:r>
          </w:p>
          <w:p>
            <w:pPr>
              <w:spacing w:after="120" w:line="276"/>
            </w:pPr>
            <w:r>
              <w:rPr>
                <w:b/>
                <w:bCs/>
                <w:color w:val="1F2937"/>
                <w:sz w:val="21"/>
                <w:szCs w:val="21"/>
              </w:rPr>
              <w:t xml:space="preserve">Uitgesloten ontwerpen: </w:t>
            </w:r>
            <w:r>
              <w:rPr>
                <w:color w:val="1F2937"/>
                <w:sz w:val="21"/>
                <w:szCs w:val="21"/>
              </w:rPr>
              <w:t xml:space="preserve">het interactieve scenario sluit elk ontwerp uit waarin de bevestiging pas volgt na synchrone verwerking in de kernadministratie — want 50 gelijktijdige gebruikers tegen een limiet van 20 aanroepen per seconde levert wachtrijvorming op. Dat is precies de constatering die in Mutatie 1.0 veertien maanden op zich liet wachten.</w:t>
            </w:r>
          </w:p>
          <w:p>
            <w:pPr>
              <w:spacing w:after="120" w:line="276"/>
            </w:pPr>
            <w:r>
              <w:rPr>
                <w:b/>
                <w:bCs/>
                <w:color w:val="1F2937"/>
                <w:sz w:val="21"/>
                <w:szCs w:val="21"/>
              </w:rPr>
              <w:t xml:space="preserve">Eis 7 — “hoge beschikbaarheid”. </w:t>
            </w:r>
            <w:r>
              <w:rPr>
                <w:color w:val="1F2937"/>
                <w:sz w:val="21"/>
                <w:szCs w:val="21"/>
              </w:rPr>
              <w:t xml:space="preserve">Het klassieke foute antwoord is “99,9% beschikbaarheid”. Dat is een getal, maar geen scenario: het zegt niets over wat er gebeurt als het systeem niet beschikbaar is, en niets over de vraag wanneer beschikbaarheid ertoe doet. Een bruikbaar scenario:</w:t>
            </w:r>
          </w:p>
          <w:p>
            <w:pPr>
              <w:spacing w:after="120" w:line="276"/>
            </w:pPr>
            <w:r>
              <w:rPr>
                <w:i/>
                <w:iCs/>
                <w:color w:val="1F2937"/>
                <w:sz w:val="21"/>
                <w:szCs w:val="21"/>
              </w:rPr>
              <w:t xml:space="preserve">Het koppelvlak van de kernadministratie is onbereikbaar tijdens kantooruren. Een mutatiebehandelaar dient een scheidingsmutatie in. Het systeem accepteert de mutatie, toont zichtbaar dat verwerking richting kernadministratie is uitgesteld, verwerkt haar automatisch binnen 15 minuten na herstel, zonder dubbele verwerking en zonder handmatige actie.</w:t>
            </w:r>
          </w:p>
          <w:p>
            <w:pPr>
              <w:spacing w:after="120" w:line="276"/>
            </w:pPr>
            <w:r>
              <w:rPr>
                <w:color w:val="1F2937"/>
                <w:sz w:val="21"/>
                <w:szCs w:val="21"/>
              </w:rPr>
              <w:t xml:space="preserve">Merk op dat dit scenario een deelstoring beschrijft, niet totale uitval. Dat is realistischer en discriminerender: het dwingt tot een ontwerpkeuze over het vasthouden van werk (een wachtrij, een outbox), terwijl “99,9%” tot niets dwingt.</w:t>
            </w:r>
          </w:p>
          <w:p>
            <w:pPr>
              <w:spacing w:after="120" w:line="276"/>
            </w:pPr>
            <w:r>
              <w:rPr>
                <w:color w:val="1F2937"/>
                <w:sz w:val="21"/>
                <w:szCs w:val="21"/>
              </w:rPr>
              <w:t xml:space="preserve">Een tweede scenario voor volledige uitval hoort erbij, en dan wordt randvoorwaarde 8 (geen nachtbezetting) relevant: als een storing om 23:00 optreedt en niemand kijkt tot 07:30, is een hersteltijd van 15 minuten een illusie tenzij het herstel automatisch is.</w:t>
            </w:r>
          </w:p>
          <w:p>
            <w:pPr>
              <w:spacing w:after="120" w:line="276"/>
            </w:pPr>
            <w:r>
              <w:rPr>
                <w:b/>
                <w:bCs/>
                <w:color w:val="1F2937"/>
                <w:sz w:val="21"/>
                <w:szCs w:val="21"/>
              </w:rPr>
              <w:t xml:space="preserve">Eis 11 — “toekomstvast”. </w:t>
            </w:r>
            <w:r>
              <w:rPr>
                <w:color w:val="1F2937"/>
                <w:sz w:val="21"/>
                <w:szCs w:val="21"/>
              </w:rPr>
              <w:t xml:space="preserve">Dit is geen kwaliteitseis maar een verhulde wens, en het is de belangrijkste van de drie. Doorvragen levert doorgaans twee onderliggende zorgen op:</w:t>
            </w:r>
          </w:p>
          <w:p>
            <w:pPr>
              <w:spacing w:after="120" w:line="276"/>
            </w:pPr>
            <w:r>
              <w:rPr>
                <w:color w:val="1F2937"/>
                <w:sz w:val="21"/>
                <w:szCs w:val="21"/>
              </w:rPr>
              <w:t xml:space="preserve">1. Wijzigbaarheid: “we willen niet dat elke nieuwe mutatiesoort een half jaar kost” → QS-3.</w:t>
            </w:r>
          </w:p>
          <w:p>
            <w:pPr>
              <w:spacing w:after="120" w:line="276"/>
            </w:pPr>
            <w:r>
              <w:rPr>
                <w:color w:val="1F2937"/>
                <w:sz w:val="21"/>
                <w:szCs w:val="21"/>
              </w:rPr>
              <w:t xml:space="preserve">2. Vervangbaarheid: “de kernadministratie wordt over vier jaar mogelijk vervangen; we willen dan niet het mutatieplatform weggooien” → een scenario over het vervangen van het achterliggende systeem, met een responsmaat in de vorm van een begrensde impact (“uitsluitend de integratielaag wordt geraakt; de mutatielogica en de historie blijven ongewijzigd”).</w:t>
            </w:r>
          </w:p>
          <w:p>
            <w:pPr>
              <w:spacing w:after="0" w:line="276"/>
            </w:pPr>
            <w:r>
              <w:rPr>
                <w:color w:val="1F2937"/>
                <w:sz w:val="21"/>
                <w:szCs w:val="21"/>
              </w:rPr>
              <w:t xml:space="preserve">“Aansluiten bij moderne standaarden in de markt” is geen eis maar een risico: het is precies de formulering die de leverancier in Mutatie 1.0 de ruimte gaf om elf services te bouwen en dat als eisvervulling te presenteren. Dit is B4 in de kiem, en het staat al in de aanbesteding.</w:t>
            </w:r>
          </w:p>
        </w:tc>
      </w:tr>
    </w:tbl>
    <w:p>
      <w:pPr>
        <w:pStyle w:val="Heading1"/>
        <w:pBdr>
          <w:bottom w:val="single" w:color="E5E7EB" w:sz="6" w:space="6"/>
        </w:pBdr>
        <w:spacing w:after="180" w:before="380"/>
      </w:pPr>
      <w:r>
        <w:rPr>
          <w:b/>
          <w:bCs/>
          <w:color w:val="1F3A5F"/>
          <w:sz w:val="30"/>
          <w:szCs w:val="30"/>
        </w:rPr>
        <w:t xml:space="preserve">Opdracht 2.3 — Doorvragen (rollenspel in duo's, 20 minuten)</w:t>
      </w:r>
    </w:p>
    <w:p>
      <w:pPr>
        <w:spacing w:after="160" w:line="276"/>
      </w:pPr>
      <w:r>
        <w:rPr>
          <w:color w:val="1F2937"/>
          <w:sz w:val="22"/>
          <w:szCs w:val="22"/>
        </w:rPr>
        <w:t xml:space="preserve">Eén van u is architect, de ander is stakeholder. Wissel na 10 minuten.</w:t>
      </w:r>
    </w:p>
    <w:p>
      <w:pPr>
        <w:spacing w:after="120" w:line="276"/>
      </w:pPr>
      <w:r>
        <w:rPr>
          <w:b/>
          <w:bCs/>
          <w:color w:val="1F2937"/>
          <w:sz w:val="21"/>
          <w:szCs w:val="21"/>
        </w:rPr>
        <w:t xml:space="preserve">Ronde 1 — stakeholder is de mutatiebehandelaar. </w:t>
      </w:r>
      <w:r>
        <w:rPr>
          <w:color w:val="1F2937"/>
          <w:sz w:val="21"/>
          <w:szCs w:val="21"/>
        </w:rPr>
        <w:t xml:space="preserve">U opent met: “Het moet gewoon werkbaar zijn, want nu klik ik me suf.” U weet, maar zegt niet uit uzelf: u werkt gemiddeld 40 mutaties per dag, bij een scheiding wisselt u vijfmaal tussen drie schermen, en het ergste is dat u niet ziet of een collega al aan hetzelfde dossier werkt.</w:t>
      </w:r>
    </w:p>
    <w:p>
      <w:pPr>
        <w:spacing w:after="120" w:line="276"/>
      </w:pPr>
      <w:r>
        <w:rPr>
          <w:b/>
          <w:bCs/>
          <w:color w:val="1F2937"/>
          <w:sz w:val="21"/>
          <w:szCs w:val="21"/>
        </w:rPr>
        <w:t xml:space="preserve">Ronde 2 — stakeholder is de security officer. </w:t>
      </w:r>
      <w:r>
        <w:rPr>
          <w:color w:val="1F2937"/>
          <w:sz w:val="21"/>
          <w:szCs w:val="21"/>
        </w:rPr>
        <w:t xml:space="preserve">U opent met: “Alles moet uiteraard veilig.” U weet, maar zegt niet uit uzelf: u ligt wakker van één ding, namelijk dat een medewerker het adres van een deelnemer wijzigt naar zijn eigen adres en vervolgens een uitkeringsopdracht goedkeurt. U bent minder bezorgd over externe aanvallers, omdat het systeem achter de gateway staat.</w:t>
      </w:r>
    </w:p>
    <w:p>
      <w:pPr>
        <w:spacing w:after="160" w:line="276"/>
      </w:pPr>
      <w:r>
        <w:rPr>
          <w:color w:val="1F2937"/>
          <w:sz w:val="22"/>
          <w:szCs w:val="22"/>
        </w:rPr>
        <w:t xml:space="preserve">De architect mag alleen vragen stellen. Doel: minimaal twee toetsbare scenario's per ronde. Gebruik de doorvraagtechnieken uit paragraaf 2.8.</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2.3</w:t>
            </w:r>
          </w:p>
          <w:p>
            <w:pPr>
              <w:spacing w:after="120" w:line="276"/>
            </w:pPr>
            <w:r>
              <w:rPr>
                <w:b/>
                <w:bCs/>
                <w:color w:val="1F2937"/>
                <w:sz w:val="21"/>
                <w:szCs w:val="21"/>
              </w:rPr>
              <w:t xml:space="preserve">Ronde 1 — verwachte scenario's:</w:t>
            </w:r>
            <w:r>
              <w:rPr>
                <w:color w:val="1F2937"/>
                <w:sz w:val="21"/>
                <w:szCs w:val="21"/>
              </w:rPr>
              <w:t xml:space="preserve"/>
            </w:r>
          </w:p>
          <w:p>
            <w:pPr>
              <w:spacing w:after="120" w:line="276"/>
            </w:pPr>
            <w:r>
              <w:rPr>
                <w:i/>
                <w:iCs/>
                <w:color w:val="1F2937"/>
                <w:sz w:val="21"/>
                <w:szCs w:val="21"/>
              </w:rPr>
              <w:t xml:space="preserve">Een mutatiebehandelaar verwerkt een scheidingsmutatie bij een normale werklast van 40 mutaties per dag. Alle voor de beoordeling benodigde gegevens zijn zichtbaar zonder van scherm te wisselen; het aantal schermwisselingen per scheidingsmutatie is ten hoogste één.</w:t>
            </w:r>
          </w:p>
          <w:p>
            <w:pPr>
              <w:spacing w:after="120" w:line="276"/>
            </w:pPr>
            <w:r>
              <w:rPr>
                <w:i/>
                <w:iCs/>
                <w:color w:val="1F2937"/>
                <w:sz w:val="21"/>
                <w:szCs w:val="21"/>
              </w:rPr>
              <w:t xml:space="preserve">Twee mutatiebehandelaars openen hetzelfde dossier. Het systeem toont binnen 2 seconden zichtbaar dat een collega het dossier in behandeling heeft, inclusief naam en tijdstip.</w:t>
            </w:r>
          </w:p>
          <w:p>
            <w:pPr>
              <w:spacing w:after="120" w:line="276"/>
            </w:pPr>
            <w:r>
              <w:rPr>
                <w:color w:val="1F2937"/>
                <w:sz w:val="21"/>
                <w:szCs w:val="21"/>
              </w:rPr>
              <w:t xml:space="preserve">Het tweede scenario is de vondst van deze ronde. De stakeholder noemde het pas na doorvragen, en het is architectuurrelevant: het vraagt om een gedeelde, actuele toestand van dossiers en sluit een ontwerp met louter lokale caches uit — dezelfde beslissing die in Mutatie 1.0 fout ging.</w:t>
            </w:r>
          </w:p>
          <w:p>
            <w:pPr>
              <w:spacing w:after="120" w:line="276"/>
            </w:pPr>
            <w:r>
              <w:rPr>
                <w:b/>
                <w:bCs/>
                <w:color w:val="1F2937"/>
                <w:sz w:val="21"/>
                <w:szCs w:val="21"/>
              </w:rPr>
              <w:t xml:space="preserve">Ronde 2 — verwachte scenario's:</w:t>
            </w:r>
            <w:r>
              <w:rPr>
                <w:color w:val="1F2937"/>
                <w:sz w:val="21"/>
                <w:szCs w:val="21"/>
              </w:rPr>
              <w:t xml:space="preserve"/>
            </w:r>
          </w:p>
          <w:p>
            <w:pPr>
              <w:spacing w:after="120" w:line="276"/>
            </w:pPr>
            <w:r>
              <w:rPr>
                <w:i/>
                <w:iCs/>
                <w:color w:val="1F2937"/>
                <w:sz w:val="21"/>
                <w:szCs w:val="21"/>
              </w:rPr>
              <w:t xml:space="preserve">Een medewerker met mutatierechten wijzigt het adres van een deelnemer. Het systeem staat niet toe dat dezelfde medewerker een daaropvolgende uitkeringswijziging op dezelfde deelnemer goedkeurt; de poging wordt geblokkeerd en gelogd met medewerker, tijdstip en deelnemer.</w:t>
            </w:r>
          </w:p>
          <w:p>
            <w:pPr>
              <w:spacing w:after="120" w:line="276"/>
            </w:pPr>
            <w:r>
              <w:rPr>
                <w:i/>
                <w:iCs/>
                <w:color w:val="1F2937"/>
                <w:sz w:val="21"/>
                <w:szCs w:val="21"/>
              </w:rPr>
              <w:t xml:space="preserve">Compliance vraagt vier jaar na dato wie een specifieke mutatie heeft ingevoerd en wie hem heeft goedgekeurd. Het antwoord is binnen één werkdag te leveren zonder tussenkomst van de bouwer.</w:t>
            </w:r>
          </w:p>
          <w:p>
            <w:pPr>
              <w:spacing w:after="120" w:line="276"/>
            </w:pPr>
            <w:r>
              <w:rPr>
                <w:color w:val="1F2937"/>
                <w:sz w:val="21"/>
                <w:szCs w:val="21"/>
              </w:rPr>
              <w:t xml:space="preserve">Merk op dat de security officer een functiescheidingseis blijkt te hebben, niet een generieke beveiligingseis. Dat is een heel ander ontwerp dan wat “alles moet veilig” suggereert. Dit is de kern van de opdracht: de doorvraag verandert niet het detailniveau maar de aard van de eis.</w:t>
            </w:r>
          </w:p>
          <w:p>
            <w:pPr>
              <w:spacing w:after="0" w:line="276"/>
            </w:pPr>
            <w:r>
              <w:rPr>
                <w:b/>
                <w:bCs/>
                <w:color w:val="1F2937"/>
                <w:sz w:val="21"/>
                <w:szCs w:val="21"/>
              </w:rPr>
              <w:t xml:space="preserve">Wat vaak misgaat. </w:t>
            </w:r>
            <w:r>
              <w:rPr>
                <w:color w:val="1F2937"/>
                <w:sz w:val="21"/>
                <w:szCs w:val="21"/>
              </w:rPr>
              <w:t xml:space="preserve">De architect gaat oplossen (“we kunnen een vierogenprincipe inbouwen”). Zodra u oplost, stopt de stakeholder met vertellen. Blijf vragen tot u de zorg kent; de oplossing is uw werk, later.</w:t>
            </w:r>
          </w:p>
        </w:tc>
      </w:tr>
    </w:tbl>
    <w:p>
      <w:pPr>
        <w:pStyle w:val="Heading1"/>
        <w:pBdr>
          <w:bottom w:val="single" w:color="E5E7EB" w:sz="6" w:space="6"/>
        </w:pBdr>
        <w:spacing w:after="180" w:before="380"/>
      </w:pPr>
      <w:r>
        <w:rPr>
          <w:b/>
          <w:bCs/>
          <w:color w:val="1F3A5F"/>
          <w:sz w:val="30"/>
          <w:szCs w:val="30"/>
        </w:rPr>
        <w:t xml:space="preserve">Opdracht 2.4 — De kwaliteitsboom bouwen en scoren (groepen van vier, 40 minuten)</w:t>
      </w:r>
    </w:p>
    <w:p>
      <w:pPr>
        <w:spacing w:after="160" w:line="276"/>
      </w:pPr>
      <w:r>
        <w:rPr>
          <w:color w:val="1F2937"/>
          <w:sz w:val="22"/>
          <w:szCs w:val="22"/>
        </w:rPr>
        <w:t xml:space="preserve">Bouw de kwaliteitsboom voor Mutatie 2.0.</w:t>
      </w:r>
    </w:p>
    <w:p>
      <w:pPr>
        <w:pStyle w:val="ListParagraph"/>
        <w:numPr>
          <w:ilvl w:val="0"/>
          <w:numId w:val="4"/>
        </w:numPr>
        <w:spacing w:after="120"/>
      </w:pPr>
      <w:r>
        <w:rPr>
          <w:b/>
          <w:bCs/>
          <w:color w:val="1F2937"/>
          <w:sz w:val="22"/>
          <w:szCs w:val="22"/>
        </w:rPr>
        <w:t xml:space="preserve">a) </w:t>
      </w:r>
      <w:r>
        <w:rPr>
          <w:color w:val="1F2937"/>
          <w:sz w:val="22"/>
          <w:szCs w:val="22"/>
        </w:rPr>
        <w:t xml:space="preserve">Bepaal welke kwaliteitsattributen relevant zijn. Loop ISO 25010 langs en schrap onderbouwd wat niet relevant is — het schrappen is onderdeel van de opdracht.</w:t>
      </w:r>
    </w:p>
    <w:p>
      <w:pPr>
        <w:pStyle w:val="ListParagraph"/>
        <w:numPr>
          <w:ilvl w:val="0"/>
          <w:numId w:val="4"/>
        </w:numPr>
        <w:spacing w:after="120"/>
      </w:pPr>
      <w:r>
        <w:rPr>
          <w:b/>
          <w:bCs/>
          <w:color w:val="1F2937"/>
          <w:sz w:val="22"/>
          <w:szCs w:val="22"/>
        </w:rPr>
        <w:t xml:space="preserve">b) </w:t>
      </w:r>
      <w:r>
        <w:rPr>
          <w:color w:val="1F2937"/>
          <w:sz w:val="22"/>
          <w:szCs w:val="22"/>
        </w:rPr>
        <w:t xml:space="preserve">Plaats onder elk attribuut minimaal twee scenario's. Gebruik QS-1 tot en met QS-6 uit de reader, uw scenario's uit opdracht 2.2 en 2.3, en bijlage E.</w:t>
      </w:r>
    </w:p>
    <w:p>
      <w:pPr>
        <w:pStyle w:val="ListParagraph"/>
        <w:numPr>
          <w:ilvl w:val="0"/>
          <w:numId w:val="4"/>
        </w:numPr>
        <w:spacing w:after="120"/>
      </w:pPr>
      <w:r>
        <w:rPr>
          <w:b/>
          <w:bCs/>
          <w:color w:val="1F2937"/>
          <w:sz w:val="22"/>
          <w:szCs w:val="22"/>
        </w:rPr>
        <w:t xml:space="preserve">c) </w:t>
      </w:r>
      <w:r>
        <w:rPr>
          <w:color w:val="1F2937"/>
          <w:sz w:val="22"/>
          <w:szCs w:val="22"/>
        </w:rPr>
        <w:t xml:space="preserve">Scoor elk scenario op belang (perspectief opdrachtgever) en risico (perspectief realisatie), elk H/M/L. Vermeld bij elke score één zin motivering.</w:t>
      </w:r>
    </w:p>
    <w:p>
      <w:pPr>
        <w:pStyle w:val="ListParagraph"/>
        <w:numPr>
          <w:ilvl w:val="0"/>
          <w:numId w:val="4"/>
        </w:numPr>
        <w:spacing w:after="120"/>
      </w:pPr>
      <w:r>
        <w:rPr>
          <w:b/>
          <w:bCs/>
          <w:color w:val="1F2937"/>
          <w:sz w:val="22"/>
          <w:szCs w:val="22"/>
        </w:rPr>
        <w:t xml:space="preserve">d) </w:t>
      </w:r>
      <w:r>
        <w:rPr>
          <w:color w:val="1F2937"/>
          <w:sz w:val="22"/>
          <w:szCs w:val="22"/>
        </w:rPr>
        <w:t xml:space="preserve">Markeer de (H, H)-scenario's. Hoeveel zijn het er? Als het er meer dan vijf zijn, prioriteer opnieuw — u kunt niet vijf architectuurdrijvers hebben plus alles wat u nog niet weet.</w:t>
      </w:r>
    </w:p>
    <w:p>
      <w:pPr>
        <w:pStyle w:val="ListParagraph"/>
        <w:numPr>
          <w:ilvl w:val="0"/>
          <w:numId w:val="4"/>
        </w:numPr>
        <w:spacing w:after="120"/>
      </w:pPr>
      <w:r>
        <w:rPr>
          <w:b/>
          <w:bCs/>
          <w:color w:val="1F2937"/>
          <w:sz w:val="22"/>
          <w:szCs w:val="22"/>
        </w:rPr>
        <w:t xml:space="preserve">e) </w:t>
      </w:r>
      <w:r>
        <w:rPr>
          <w:color w:val="1F2937"/>
          <w:sz w:val="22"/>
          <w:szCs w:val="22"/>
        </w:rPr>
        <w:t xml:space="preserve">Neem één (L, H)-scenario, als u dat hebt. Formuleer de vraag die u aan de opdrachtgever zou stellen.</w:t>
      </w:r>
    </w:p>
    <w:p>
      <w:pPr>
        <w:spacing w:after="160" w:line="276"/>
      </w:pPr>
      <w:r>
        <w:rPr>
          <w:color w:val="1F2937"/>
          <w:sz w:val="22"/>
          <w:szCs w:val="22"/>
        </w:rPr>
        <w:t xml:space="preserve">Presenteer per groep de vier zwaarste drijvers en één schrapping die u onderbouwd hebt gedaan.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2.4</w:t>
            </w:r>
          </w:p>
          <w:p>
            <w:pPr>
              <w:spacing w:after="160" w:line="276"/>
            </w:pPr>
            <w:r>
              <w:rPr>
                <w:color w:val="1F2937"/>
                <w:sz w:val="22"/>
                <w:szCs w:val="22"/>
              </w:rPr>
              <w:t xml:space="preserve">Geen enig juiste boom. Beoordelingspunten:</w:t>
            </w:r>
          </w:p>
          <w:p>
            <w:pPr>
              <w:spacing w:after="120" w:line="276"/>
            </w:pPr>
            <w:r>
              <w:rPr>
                <w:b/>
                <w:bCs/>
                <w:color w:val="1F2937"/>
                <w:sz w:val="21"/>
                <w:szCs w:val="21"/>
              </w:rPr>
              <w:t xml:space="preserve">a) Schrappen. </w:t>
            </w:r>
            <w:r>
              <w:rPr>
                <w:color w:val="1F2937"/>
                <w:sz w:val="21"/>
                <w:szCs w:val="21"/>
              </w:rPr>
              <w:t xml:space="preserve">Overdraagbaarheid is voor dit systeem doorgaans laag relevant en mag onderbouwd worden geschrapt. Groepen die niets schrappen, hebben de opdracht niet begrepen: een boom met alle acht takken stuurt niets. Groepen die functionele geschiktheid schrappen “omdat dat vanzelf spreekt”, maken een fout — correctheid van berekende ingangsdatums is bij pensioenuitvoering een architectuurrelevante eis, omdat zij bepaalt waar rekenlogica leeft en hoe die getest wordt.</w:t>
            </w:r>
          </w:p>
          <w:p>
            <w:pPr>
              <w:spacing w:after="120" w:line="276"/>
            </w:pPr>
            <w:r>
              <w:rPr>
                <w:b/>
                <w:bCs/>
                <w:color w:val="1F2937"/>
                <w:sz w:val="21"/>
                <w:szCs w:val="21"/>
              </w:rPr>
              <w:t xml:space="preserve">b/c) Scores. </w:t>
            </w:r>
            <w:r>
              <w:rPr>
                <w:color w:val="1F2937"/>
                <w:sz w:val="21"/>
                <w:szCs w:val="21"/>
              </w:rPr>
              <w:t xml:space="preserve">Het risico-oordeel is waar groepen het meest van elkaar verschillen, en dat is leerzaam. Een veelvoorkomende onderschatting: QS-3 (nieuwe mutatiesoort in 10 werkdagen) krijgt vaak risico M omdat “modulair bouwen kunnen we wel”. In Mutatie 1.0 kostte een wijziging in maand elf vijf weken en brak drie functies. Wijzigbaarheid is het attribuut dat het vaakst wordt overschat en het langzaamst zichtbaar faalt.</w:t>
            </w:r>
          </w:p>
          <w:p>
            <w:pPr>
              <w:spacing w:after="120" w:line="276"/>
            </w:pPr>
            <w:r>
              <w:rPr>
                <w:b/>
                <w:bCs/>
                <w:color w:val="1F2937"/>
                <w:sz w:val="21"/>
                <w:szCs w:val="21"/>
              </w:rPr>
              <w:t xml:space="preserve">d) Aantal drijvers. </w:t>
            </w:r>
            <w:r>
              <w:rPr>
                <w:color w:val="1F2937"/>
                <w:sz w:val="21"/>
                <w:szCs w:val="21"/>
              </w:rPr>
              <w:t xml:space="preserve">Vier tot vijf is werkbaar. Groepen die er acht aanwijzen, hebben belang en risico niet echt onderscheiden — meestal is alles op belang H gescoord. De correctie: laat ze de vraag stellen “als we dit scenario niet halen, gaat het programma dan door?” Bij een echte H is het antwoord nee.</w:t>
            </w:r>
          </w:p>
          <w:p>
            <w:pPr>
              <w:spacing w:after="0" w:line="276"/>
            </w:pPr>
            <w:r>
              <w:rPr>
                <w:b/>
                <w:bCs/>
                <w:color w:val="1F2937"/>
                <w:sz w:val="21"/>
                <w:szCs w:val="21"/>
              </w:rPr>
              <w:t xml:space="preserve">e) (L, H)-scenario. </w:t>
            </w:r>
            <w:r>
              <w:rPr>
                <w:color w:val="1F2937"/>
                <w:sz w:val="21"/>
                <w:szCs w:val="21"/>
              </w:rPr>
              <w:t xml:space="preserve">Een veelvoorkomende kandidaat is een scenario over grote schaalbaarheid (“10.000 gelijktijdige gebruikers”). De juiste reactie is niet ontwerpen maar vragen: “waar komt dit getal vandaan, en welke gebeurtenis zou het veroorzaken?” Vaak blijkt het een geërfd getal uit een ander project. Soms blijkt er een reëel scenario achter te zitten (de jaarlijkse UPO-verzending, waarbij 340.000 deelnemers in twee weken een bericht krijgen) — en dan is het belang niet L maar H, en hebt u een drijver gevonden die anders was gemist.</w:t>
            </w:r>
          </w:p>
        </w:tc>
      </w:tr>
    </w:tbl>
    <w:p>
      <w:pPr>
        <w:pStyle w:val="Heading1"/>
        <w:pBdr>
          <w:bottom w:val="single" w:color="E5E7EB" w:sz="6" w:space="6"/>
        </w:pBdr>
        <w:spacing w:after="180" w:before="380"/>
      </w:pPr>
      <w:r>
        <w:rPr>
          <w:b/>
          <w:bCs/>
          <w:color w:val="1F3A5F"/>
          <w:sz w:val="30"/>
          <w:szCs w:val="30"/>
        </w:rPr>
        <w:t xml:space="preserve">Opdracht 2.5 — Een trade-off uitschrijven (duo's, 25 minuten)</w:t>
      </w:r>
    </w:p>
    <w:p>
      <w:pPr>
        <w:spacing w:after="160" w:line="276"/>
      </w:pPr>
      <w:r>
        <w:rPr>
          <w:color w:val="1F2937"/>
          <w:sz w:val="22"/>
          <w:szCs w:val="22"/>
        </w:rPr>
        <w:t xml:space="preserve">Neem het conflict tussen QS-1 (bevestiging binnen 2 seconden) en QS-4 (zeven jaar reconstrueerbaar, inclusief goedkeurder), in het licht van randvoorwaarde 11 (koppelvlak: 20 aanroepen per seconde).</w:t>
      </w:r>
    </w:p>
    <w:p>
      <w:pPr>
        <w:spacing w:after="160" w:line="276"/>
      </w:pPr>
      <w:r>
        <w:rPr>
          <w:color w:val="1F2937"/>
          <w:sz w:val="22"/>
          <w:szCs w:val="22"/>
        </w:rPr>
        <w:t xml:space="preserve">Schrijf de trade-off uit in de vier delen uit paragraaf 2.7: conflict, keuze, prijs, herzieningsgrens.</w:t>
      </w:r>
    </w:p>
    <w:p>
      <w:pPr>
        <w:spacing w:after="160" w:line="276"/>
      </w:pPr>
      <w:r>
        <w:rPr>
          <w:color w:val="1F2937"/>
          <w:sz w:val="22"/>
          <w:szCs w:val="22"/>
        </w:rPr>
        <w:t xml:space="preserve">Aanvullend: benoem één stakeholder uit de tabel in 2.2 die deze keuze in zijn dagelijks werk gaat merken, en beschrijf in twee zinnen wat hij merkt. Als u die stakeholder niet kunt aanwijzen, is uw prijs waarschijnlijk niet concreet genoeg beschreven.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2.5</w:t>
            </w:r>
          </w:p>
          <w:p>
            <w:pPr>
              <w:spacing w:after="120" w:line="276"/>
            </w:pPr>
            <w:r>
              <w:rPr>
                <w:b/>
                <w:bCs/>
                <w:color w:val="1F2937"/>
                <w:sz w:val="21"/>
                <w:szCs w:val="21"/>
              </w:rPr>
              <w:t xml:space="preserve">Conflict. </w:t>
            </w:r>
            <w:r>
              <w:rPr>
                <w:color w:val="1F2937"/>
                <w:sz w:val="21"/>
                <w:szCs w:val="21"/>
              </w:rPr>
              <w:t xml:space="preserve">QS-1 vraagt bevestiging binnen 2 seconden (p95) bij 50 gelijktijdige gebruikers. QS-4 vraagt dat elke mutatie zeven jaar reconstrueerbaar is inclusief goedkeurder. Randvoorwaarde 11 begrenst de kernadministratie op 20 aanroepen per seconde. Synchroon doorschrijven naar de kernadministratie vóór bevestiging maakt QS-1 onhaalbaar bij piekbelasting; uitsluitend lokaal bevestigen zonder vastlegging maakt QS-4 onhaalbaar.</w:t>
            </w:r>
          </w:p>
          <w:p>
            <w:pPr>
              <w:spacing w:after="120" w:line="276"/>
            </w:pPr>
            <w:r>
              <w:rPr>
                <w:b/>
                <w:bCs/>
                <w:color w:val="1F2937"/>
                <w:sz w:val="21"/>
                <w:szCs w:val="21"/>
              </w:rPr>
              <w:t xml:space="preserve">Keuze. </w:t>
            </w:r>
            <w:r>
              <w:rPr>
                <w:color w:val="1F2937"/>
                <w:sz w:val="21"/>
                <w:szCs w:val="21"/>
              </w:rPr>
              <w:t xml:space="preserve">De bevestiging aan de deelnemer volgt na onherroepelijke vastlegging van de mutatiegebeurtenis in het platform zelf, inclusief indiener, tijdstip en (bij goedkeuringsplichtige mutaties) goedkeurder. Doorwerking naar de kernadministratie is asynchroon, met gegarandeerde levering en zonder dubbele verwerking.</w:t>
            </w:r>
          </w:p>
          <w:p>
            <w:pPr>
              <w:spacing w:after="120" w:line="276"/>
            </w:pPr>
            <w:r>
              <w:rPr>
                <w:b/>
                <w:bCs/>
                <w:color w:val="1F2937"/>
                <w:sz w:val="21"/>
                <w:szCs w:val="21"/>
              </w:rPr>
              <w:t xml:space="preserve">Prijs. </w:t>
            </w:r>
            <w:r>
              <w:rPr>
                <w:color w:val="1F2937"/>
                <w:sz w:val="21"/>
                <w:szCs w:val="21"/>
              </w:rPr>
              <w:t xml:space="preserve">Er ontstaat een venster — normaal seconden, bij een storing tot uren — waarin het platform en de kernadministratie verschillen. Dat verschil moet zichtbaar zijn in het statusbeeld, moet begrepen worden door de mutatiebehandelaar, en vraagt een afstemmingsmechanisme dat aantoont dat elke vastgelegde gebeurtenis uiteindelijk is doorgewerkt. Dat mechanisme is bouw- en beheerwerk dat er anders niet was geweest.</w:t>
            </w:r>
          </w:p>
          <w:p>
            <w:pPr>
              <w:spacing w:after="120" w:line="276"/>
            </w:pPr>
            <w:r>
              <w:rPr>
                <w:b/>
                <w:bCs/>
                <w:color w:val="1F2937"/>
                <w:sz w:val="21"/>
                <w:szCs w:val="21"/>
              </w:rPr>
              <w:t xml:space="preserve">Herzieningsgrens. </w:t>
            </w:r>
            <w:r>
              <w:rPr>
                <w:color w:val="1F2937"/>
                <w:sz w:val="21"/>
                <w:szCs w:val="21"/>
              </w:rPr>
              <w:t xml:space="preserve">Deze keuze vervalt als (a) de toezichthouder eist dat platform en kernadministratie op elk moment identiek zijn, of (b) de limiet van 20 aanroepen per seconde structureel wordt opgeheven én de kernadministratie binnen 500 ms antwoordt. In beide gevallen wordt synchroon doorschrijven heroverwogen; in geval (a) moet daarnaast de responsmaat van QS-1 naar boven worden bijgesteld.</w:t>
            </w:r>
          </w:p>
          <w:p>
            <w:pPr>
              <w:spacing w:after="0" w:line="276"/>
            </w:pPr>
            <w:r>
              <w:rPr>
                <w:b/>
                <w:bCs/>
                <w:color w:val="1F2937"/>
                <w:sz w:val="21"/>
                <w:szCs w:val="21"/>
              </w:rPr>
              <w:t xml:space="preserve">De stakeholder die het merkt: </w:t>
            </w:r>
            <w:r>
              <w:rPr>
                <w:color w:val="1F2937"/>
                <w:sz w:val="21"/>
                <w:szCs w:val="21"/>
              </w:rPr>
              <w:t xml:space="preserve">de mutatiebehandelaar. Zij ziet in het platform dat een mutatie is verwerkt, terwijl een collega die in de kernadministratie kijkt hem nog niet ziet. Zonder expliciete statusweergave leidt dat tot dubbele invoer en tot telefoontjes die niemand kan beantwoorden — precies het soort operationele schade dat achteraf als “systeemfout” wordt gerapporteerd.</w:t>
            </w:r>
          </w:p>
        </w:tc>
      </w:tr>
    </w:tbl>
    <w:p>
      <w:pPr>
        <w:pStyle w:val="Heading1"/>
        <w:pBdr>
          <w:bottom w:val="single" w:color="E5E7EB" w:sz="6" w:space="6"/>
        </w:pBdr>
        <w:spacing w:after="180" w:before="380"/>
      </w:pPr>
      <w:r>
        <w:rPr>
          <w:b/>
          <w:bCs/>
          <w:color w:val="1F3A5F"/>
          <w:sz w:val="30"/>
          <w:szCs w:val="30"/>
        </w:rPr>
        <w:t xml:space="preserve">Opdracht 2.6 — Toepassing op uw eigen systeem (individueel huiswerk, 45 minuten)</w:t>
      </w:r>
    </w:p>
    <w:p>
      <w:pPr>
        <w:spacing w:after="160" w:line="276"/>
      </w:pPr>
      <w:r>
        <w:rPr>
          <w:color w:val="1F2937"/>
          <w:sz w:val="22"/>
          <w:szCs w:val="22"/>
        </w:rPr>
        <w:t xml:space="preserve">Neem uw uitwerking van opdracht 1.5.</w:t>
      </w:r>
    </w:p>
    <w:p>
      <w:pPr>
        <w:pStyle w:val="ListParagraph"/>
        <w:numPr>
          <w:ilvl w:val="0"/>
          <w:numId w:val="5"/>
        </w:numPr>
        <w:spacing w:after="120"/>
      </w:pPr>
      <w:r>
        <w:rPr>
          <w:b/>
          <w:bCs/>
          <w:color w:val="1F2937"/>
          <w:sz w:val="22"/>
          <w:szCs w:val="22"/>
        </w:rPr>
        <w:t xml:space="preserve">a) </w:t>
      </w:r>
      <w:r>
        <w:rPr>
          <w:color w:val="1F2937"/>
          <w:sz w:val="22"/>
          <w:szCs w:val="22"/>
        </w:rPr>
        <w:t xml:space="preserve">Formuleer twee kwaliteitsscenario's voor uw eigen systeem, volledig zesdelig. Kies er één die vandaag niet gehaald wordt.</w:t>
      </w:r>
    </w:p>
    <w:p>
      <w:pPr>
        <w:pStyle w:val="ListParagraph"/>
        <w:numPr>
          <w:ilvl w:val="0"/>
          <w:numId w:val="5"/>
        </w:numPr>
        <w:spacing w:after="120"/>
      </w:pPr>
      <w:r>
        <w:rPr>
          <w:b/>
          <w:bCs/>
          <w:color w:val="1F2937"/>
          <w:sz w:val="22"/>
          <w:szCs w:val="22"/>
        </w:rPr>
        <w:t xml:space="preserve">b) </w:t>
      </w:r>
      <w:r>
        <w:rPr>
          <w:color w:val="1F2937"/>
          <w:sz w:val="22"/>
          <w:szCs w:val="22"/>
        </w:rPr>
        <w:t xml:space="preserve">Zoek uit of er in uw organisatie een norm bestaat voor het scenario dat niet gehaald wordt. Bestaat die niet — wat het meest waarschijnlijke antwoord is — noteer dan wie hem zou moeten vaststellen.</w:t>
      </w:r>
    </w:p>
    <w:p>
      <w:pPr>
        <w:pStyle w:val="ListParagraph"/>
        <w:numPr>
          <w:ilvl w:val="0"/>
          <w:numId w:val="5"/>
        </w:numPr>
        <w:spacing w:after="120"/>
      </w:pPr>
      <w:r>
        <w:rPr>
          <w:b/>
          <w:bCs/>
          <w:color w:val="1F2937"/>
          <w:sz w:val="22"/>
          <w:szCs w:val="22"/>
        </w:rPr>
        <w:t xml:space="preserve">c) </w:t>
      </w:r>
      <w:r>
        <w:rPr>
          <w:color w:val="1F2937"/>
          <w:sz w:val="22"/>
          <w:szCs w:val="22"/>
        </w:rPr>
        <w:t xml:space="preserve">Noteer één aanname waarop uw systeem draait en die nergens is opgeschreven. Vermeld wie hem zou moeten toetsen en hoe.</w:t>
      </w:r>
    </w:p>
    <w:p>
      <w:pPr>
        <w:spacing w:after="160" w:line="276"/>
      </w:pPr>
      <w:r>
        <w:rPr>
          <w:color w:val="1F2937"/>
          <w:sz w:val="22"/>
          <w:szCs w:val="22"/>
        </w:rPr>
        <w:t xml:space="preserve">Neem het resultaat mee naar deel 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2.6</w:t>
            </w:r>
          </w:p>
          <w:p>
            <w:pPr>
              <w:spacing w:after="120" w:line="276"/>
            </w:pPr>
            <w:r>
              <w:rPr>
                <w:color w:val="1F2937"/>
                <w:sz w:val="21"/>
                <w:szCs w:val="21"/>
              </w:rPr>
              <w:t xml:space="preserve">Individueel. Bij de terugkoppeling in deel 3 letten wij op b): het antwoord is in ruwweg vier van de vijf gevallen dat er geen norm bestaat. Dat is geen aanklacht tegen uw organisatie maar de normale toestand, en het is de reden dat B2 een van de meest voorkomende bevindingen is in post-mortems van vastgelopen projecten.</w:t>
            </w:r>
          </w:p>
          <w:p>
            <w:pPr>
              <w:spacing w:after="0" w:line="276"/>
            </w:pPr>
            <w:r>
              <w:rPr>
                <w:color w:val="1F2937"/>
                <w:sz w:val="21"/>
                <w:szCs w:val="21"/>
              </w:rPr>
              <w:t xml:space="preserve">Bij c) geldt dezelfde toets als in deel 1: een aanname is pas bruikbaar opgeschreven als er een eigenaar en een toetsmethode bij staan. “We nemen aan dat het volume niet groeit” is een zin; “productmanagement toetst voor 1 oktober aan de hand van de instroomcijfers van de laatste drie jaar of het volume met meer dan 20% kan groeien” is een aanname die kan sneuvelen.</w:t>
            </w:r>
          </w:p>
        </w:tc>
      </w:tr>
    </w:tbl>
    <w:p>
      <w:pPr>
        <w:pStyle w:val="Heading1"/>
        <w:pBdr>
          <w:bottom w:val="single" w:color="E5E7EB" w:sz="6" w:space="6"/>
        </w:pBdr>
        <w:spacing w:after="180" w:before="380"/>
      </w:pPr>
      <w:r>
        <w:rPr>
          <w:b/>
          <w:bCs/>
          <w:color w:val="1F3A5F"/>
          <w:sz w:val="30"/>
          <w:szCs w:val="30"/>
        </w:rPr>
        <w:t xml:space="preserve">Opdracht 2.7 — Capstonedossier bijwerken (individueel, 15 minuten)</w:t>
      </w:r>
    </w:p>
    <w:p>
      <w:pPr>
        <w:pStyle w:val="ListParagraph"/>
        <w:numPr>
          <w:ilvl w:val="0"/>
          <w:numId w:val="6"/>
        </w:numPr>
        <w:spacing w:after="120"/>
      </w:pPr>
      <w:r>
        <w:rPr>
          <w:b/>
          <w:bCs/>
          <w:color w:val="1F2937"/>
          <w:sz w:val="22"/>
          <w:szCs w:val="22"/>
        </w:rPr>
        <w:t xml:space="preserve">a) </w:t>
      </w:r>
      <w:r>
        <w:rPr>
          <w:color w:val="1F2937"/>
          <w:sz w:val="22"/>
          <w:szCs w:val="22"/>
        </w:rPr>
        <w:t xml:space="preserve">Vul in uw bevindingenregister de regel B2 in bij “mijn maatregel”. Formuleer wat u in Mutatie 2.0 concreet zou vastleggen en op welk moment in het traject.</w:t>
      </w:r>
    </w:p>
    <w:p>
      <w:pPr>
        <w:pStyle w:val="ListParagraph"/>
        <w:numPr>
          <w:ilvl w:val="0"/>
          <w:numId w:val="6"/>
        </w:numPr>
        <w:spacing w:after="120"/>
      </w:pPr>
      <w:r>
        <w:rPr>
          <w:b/>
          <w:bCs/>
          <w:color w:val="1F2937"/>
          <w:sz w:val="22"/>
          <w:szCs w:val="22"/>
        </w:rPr>
        <w:t xml:space="preserve">b) </w:t>
      </w:r>
      <w:r>
        <w:rPr>
          <w:color w:val="1F2937"/>
          <w:sz w:val="22"/>
          <w:szCs w:val="22"/>
        </w:rPr>
        <w:t xml:space="preserve">Voeg aan uw dossier toe: uw vier architectuurdrijvers voor Mutatie 2.0, elk als volledig scenario. Deze vier zijn vanaf nu de meetlat waarlangs u in deel 3 tot en met 9 uw ontwerpkeuzes verantwoordt.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2.7</w:t>
            </w:r>
          </w:p>
          <w:p>
            <w:pPr>
              <w:spacing w:after="120" w:line="276"/>
            </w:pPr>
            <w:r>
              <w:rPr>
                <w:b/>
                <w:bCs/>
                <w:color w:val="1F2937"/>
                <w:sz w:val="21"/>
                <w:szCs w:val="21"/>
              </w:rPr>
              <w:t xml:space="preserve">a) </w:t>
            </w:r>
            <w:r>
              <w:rPr>
                <w:color w:val="1F2937"/>
                <w:sz w:val="21"/>
                <w:szCs w:val="21"/>
              </w:rPr>
              <w:t xml:space="preserve">Een verdedigbare maatregel voor B2 heeft drie elementen: (1) kwaliteitsscenario's zijn onderdeel van de uitvraag, niet van de oplevering; (2) de vier architectuurdrijvers worden bij elke architectuurbeslissing expliciet geraadpleegd en de beslissing verantwoordt zich ertegen; (3) elk drijverscenario heeft een eigenaar en een eerste meetmoment binnen de eerste drie maanden — niet aan het eind.</w:t>
            </w:r>
          </w:p>
          <w:p>
            <w:pPr>
              <w:spacing w:after="120" w:line="276"/>
            </w:pPr>
            <w:r>
              <w:rPr>
                <w:color w:val="1F2937"/>
                <w:sz w:val="21"/>
                <w:szCs w:val="21"/>
              </w:rPr>
              <w:t xml:space="preserve">Punt 3 is degene die B5 mede sluit en die deelnemers het vaakst vergeten. Een scenario zonder meetmoment is een norm die pas bij oplevering geldt, en dat is precies de situatie in week 58.</w:t>
            </w:r>
          </w:p>
          <w:p>
            <w:pPr>
              <w:spacing w:after="120" w:line="276"/>
            </w:pPr>
            <w:r>
              <w:rPr>
                <w:b/>
                <w:bCs/>
                <w:color w:val="1F2937"/>
                <w:sz w:val="21"/>
                <w:szCs w:val="21"/>
              </w:rPr>
              <w:t xml:space="preserve">b) </w:t>
            </w:r>
            <w:r>
              <w:rPr>
                <w:color w:val="1F2937"/>
                <w:sz w:val="21"/>
                <w:szCs w:val="21"/>
              </w:rPr>
              <w:t xml:space="preserve">Uw vier drijvers moeten volledig zesdelig zijn en van elkaar verschillen in attribuut. Vier prestatiescenario's is geen set drijvers maar één zorg in vier vormen.</w:t>
            </w:r>
          </w:p>
        </w:tc>
      </w:tr>
    </w:tbl>
    <w:p>
      <w:pPr>
        <w:pBdr>
          <w:top w:val="single" w:color="E5E7EB" w:sz="4" w:space="8"/>
        </w:pBdr>
        <w:spacing w:before="400"/>
        <w:jc w:val="center"/>
      </w:pPr>
      <w:r>
        <w:rPr>
          <w:i/>
          <w:iCs/>
          <w:color w:val="6B7280"/>
          <w:sz w:val="17"/>
          <w:szCs w:val="17"/>
        </w:rPr>
        <w:t xml:space="preserve">Ductus B.V.  ·  Cursus Softwarearchitectuur  ·  Niveau 1, deel 2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2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2026-08-17T14:12:38.945Z</dcterms:created>
  <dcterms:modified xsi:type="dcterms:W3CDTF">2026-08-17T14:12:38.947Z</dcterms:modified>
</cp:coreProperties>
</file>

<file path=docProps/custom.xml><?xml version="1.0" encoding="utf-8"?>
<Properties xmlns="http://schemas.openxmlformats.org/officeDocument/2006/custom-properties" xmlns:vt="http://schemas.openxmlformats.org/officeDocument/2006/docPropsVTypes"/>
</file>