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3 — Ontwerpprincipes</w:t>
      </w:r>
    </w:p>
    <w:p>
      <w:pPr>
        <w:spacing w:after="200"/>
      </w:pPr>
      <w:r>
        <w:rPr>
          <w:b/>
          <w:bCs/>
          <w:color w:val="4A6789"/>
          <w:sz w:val="26"/>
          <w:szCs w:val="26"/>
        </w:rPr>
        <w:t xml:space="preserve">Docentenhandleiding</w:t>
      </w:r>
    </w:p>
    <w:p>
      <w:pPr>
        <w:spacing w:after="400"/>
      </w:pPr>
      <w:r>
        <w:rPr>
          <w:color w:val="6B7280"/>
          <w:sz w:val="20"/>
          <w:szCs w:val="20"/>
        </w:rPr>
        <w:t xml:space="preserve">Cursus Softwarearchitectuur · Niveau 1 (CPSA-F) · Deel 3 van 10</w:t>
      </w:r>
    </w:p>
    <w:p>
      <w:pPr>
        <w:pStyle w:val="Heading1"/>
        <w:pBdr>
          <w:bottom w:val="single" w:color="E5E7EB" w:sz="6" w:space="6"/>
        </w:pBdr>
        <w:spacing w:after="180" w:before="380"/>
      </w:pPr>
      <w:r>
        <w:rPr>
          <w:b/>
          <w:bCs/>
          <w:color w:val="1F3A5F"/>
          <w:sz w:val="30"/>
          <w:szCs w:val="30"/>
        </w:rPr>
        <w:t xml:space="preserve">1. Positie van dit deel</w:t>
      </w:r>
    </w:p>
    <w:p>
      <w:pPr>
        <w:spacing w:after="160" w:line="276"/>
      </w:pPr>
      <w:r>
        <w:rPr>
          <w:color w:val="1F2937"/>
          <w:sz w:val="22"/>
          <w:szCs w:val="22"/>
        </w:rPr>
        <w:t xml:space="preserve">Deel 3 is het inhoudelijk moeilijkste deel van de eerste helft, en tegelijk het deel waar deelnemers denken dat ze het al weten. Vrijwel iedereen kent de woorden koppeling, cohesie en DRY. Vrijwel niemand kan uitleggen waarom hergebruik wijzigbaarheid verlaagt, of waarom duplicatie soms de goedkopere keuze is.</w:t>
      </w:r>
    </w:p>
    <w:p>
      <w:pPr>
        <w:spacing w:after="160" w:line="276"/>
      </w:pPr>
      <w:r>
        <w:rPr>
          <w:b/>
          <w:bCs/>
          <w:color w:val="1F2937"/>
          <w:sz w:val="22"/>
          <w:szCs w:val="22"/>
        </w:rPr>
        <w:t xml:space="preserve">Uw taak vandaag is niet de begrippen introduceren maar ze omkeren.</w:t>
      </w:r>
      <w:r>
        <w:rPr>
          <w:color w:val="1F2937"/>
          <w:sz w:val="22"/>
          <w:szCs w:val="22"/>
        </w:rPr>
        <w:t xml:space="preserve"> Drie omkeringen dragen het dagdeel:</w:t>
      </w:r>
    </w:p>
    <w:p>
      <w:pPr>
        <w:pStyle w:val="ListParagraph"/>
        <w:numPr>
          <w:ilvl w:val="0"/>
          <w:numId w:val="2"/>
        </w:numPr>
        <w:spacing w:after="120"/>
      </w:pPr>
      <w:r>
        <w:rPr>
          <w:color w:val="1F2937"/>
          <w:sz w:val="22"/>
          <w:szCs w:val="22"/>
        </w:rPr>
        <w:t xml:space="preserve">Hergebruik is niet gratis — het ruilt schrijfwerk in voor gebondenheid.</w:t>
      </w:r>
    </w:p>
    <w:p>
      <w:pPr>
        <w:pStyle w:val="ListParagraph"/>
        <w:numPr>
          <w:ilvl w:val="0"/>
          <w:numId w:val="2"/>
        </w:numPr>
        <w:spacing w:after="120"/>
      </w:pPr>
      <w:r>
        <w:rPr>
          <w:color w:val="1F2937"/>
          <w:sz w:val="22"/>
          <w:szCs w:val="22"/>
        </w:rPr>
        <w:t xml:space="preserve">Cohesie gaat over reden-van-verandering, niet over gelijkenis. Logische cohesie voelt goed en is zwak.</w:t>
      </w:r>
    </w:p>
    <w:p>
      <w:pPr>
        <w:pStyle w:val="ListParagraph"/>
        <w:numPr>
          <w:ilvl w:val="0"/>
          <w:numId w:val="2"/>
        </w:numPr>
        <w:spacing w:after="120"/>
      </w:pPr>
      <w:r>
        <w:rPr>
          <w:color w:val="1F2937"/>
          <w:sz w:val="22"/>
          <w:szCs w:val="22"/>
        </w:rPr>
        <w:t xml:space="preserve">DRY gaat over dubbele kennis, niet dubbele tekst. Duplicatie is goedkoper dan de verkeerde abstractie.</w:t>
      </w:r>
    </w:p>
    <w:p>
      <w:pPr>
        <w:spacing w:after="160" w:line="276"/>
      </w:pPr>
      <w:r>
        <w:rPr>
          <w:color w:val="1F2937"/>
          <w:sz w:val="22"/>
          <w:szCs w:val="22"/>
        </w:rPr>
        <w:t xml:space="preserve">Wie deze drie meeneemt, kan deel 4 en 5 (stijlen) volgen als een afweging in plaats van als een catalogus. Wie ze niet meeneemt, kiest in deel 5 microservices om dezelfde reden als de leverancier van Mutatie 1.0.</w:t>
      </w:r>
    </w:p>
    <w:p>
      <w:pPr>
        <w:spacing w:after="160" w:line="276"/>
      </w:pPr>
      <w:r>
        <w:rPr>
          <w:b/>
          <w:bCs/>
          <w:color w:val="1F2937"/>
          <w:sz w:val="22"/>
          <w:szCs w:val="22"/>
        </w:rPr>
        <w:t xml:space="preserve">Tweede functie van dit deel: </w:t>
      </w:r>
      <w:r>
        <w:rPr>
          <w:color w:val="1F2937"/>
          <w:sz w:val="22"/>
          <w:szCs w:val="22"/>
        </w:rPr>
        <w:t xml:space="preserve">het levert de hoofdindeling van Mutatie 2.0 op, die deelnemers in hun capstonedossier vastleggen (opdracht 3.7) en die vanaf deel 4 hun werkbasis is. De kwaliteit van opdracht 3.3 bepaalt daarmee de kwaliteit van de rest van het niveau.</w:t>
      </w:r>
    </w:p>
    <w:p>
      <w:pPr>
        <w:pStyle w:val="Heading1"/>
        <w:pBdr>
          <w:bottom w:val="single" w:color="E5E7EB" w:sz="6" w:space="6"/>
        </w:pBdr>
        <w:spacing w:after="180" w:before="380"/>
      </w:pPr>
      <w:r>
        <w:rPr>
          <w:b/>
          <w:bCs/>
          <w:color w:val="1F3A5F"/>
          <w:sz w:val="30"/>
          <w:szCs w:val="30"/>
        </w:rPr>
        <w:t xml:space="preserve">2. Dagdeelplanning (4 uur, twee pauzes)</w:t>
      </w:r>
    </w:p>
    <w:tbl>
      <w:tblPr>
        <w:tblW w:type="dxa" w:w="96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1500"/>
        <w:gridCol w:w="4300"/>
        <w:gridCol w:w="2300"/>
        <w:gridCol w:w="1538"/>
      </w:tblGrid>
      <w:tr>
        <w:trPr>
          <w:tblHeader/>
        </w:trPr>
        <w:tc>
          <w:tcPr>
            <w:tcW w:type="dxa" w:w="1500"/>
            <w:shd w:fill="1F3A5F" w:val="clear"/>
            <w:tcMar>
              <w:top w:type="dxa" w:w="100"/>
              <w:left w:type="dxa" w:w="120"/>
              <w:bottom w:type="dxa" w:w="100"/>
              <w:right w:type="dxa" w:w="120"/>
            </w:tcMar>
            <w:vAlign w:val="center"/>
          </w:tcPr>
          <w:p>
            <w:r>
              <w:rPr>
                <w:b/>
                <w:bCs/>
                <w:color w:val="FFFFFF"/>
                <w:sz w:val="19"/>
                <w:szCs w:val="19"/>
              </w:rPr>
              <w:t xml:space="preserve">Tijd</w:t>
            </w:r>
          </w:p>
        </w:tc>
        <w:tc>
          <w:tcPr>
            <w:tcW w:type="dxa" w:w="4300"/>
            <w:shd w:fill="1F3A5F" w:val="clear"/>
            <w:tcMar>
              <w:top w:type="dxa" w:w="100"/>
              <w:left w:type="dxa" w:w="120"/>
              <w:bottom w:type="dxa" w:w="100"/>
              <w:right w:type="dxa" w:w="120"/>
            </w:tcMar>
            <w:vAlign w:val="center"/>
          </w:tcPr>
          <w:p>
            <w:r>
              <w:rPr>
                <w:b/>
                <w:bCs/>
                <w:color w:val="FFFFFF"/>
                <w:sz w:val="19"/>
                <w:szCs w:val="19"/>
              </w:rPr>
              <w:t xml:space="preserve">Onderdeel</w:t>
            </w:r>
          </w:p>
        </w:tc>
        <w:tc>
          <w:tcPr>
            <w:tcW w:type="dxa" w:w="2300"/>
            <w:shd w:fill="1F3A5F" w:val="clear"/>
            <w:tcMar>
              <w:top w:type="dxa" w:w="100"/>
              <w:left w:type="dxa" w:w="120"/>
              <w:bottom w:type="dxa" w:w="100"/>
              <w:right w:type="dxa" w:w="120"/>
            </w:tcMar>
            <w:vAlign w:val="center"/>
          </w:tcPr>
          <w:p>
            <w:r>
              <w:rPr>
                <w:b/>
                <w:bCs/>
                <w:color w:val="FFFFFF"/>
                <w:sz w:val="19"/>
                <w:szCs w:val="19"/>
              </w:rPr>
              <w:t xml:space="preserve">Vorm</w:t>
            </w:r>
          </w:p>
        </w:tc>
        <w:tc>
          <w:tcPr>
            <w:tcW w:type="dxa" w:w="1538"/>
            <w:shd w:fill="1F3A5F" w:val="clear"/>
            <w:tcMar>
              <w:top w:type="dxa" w:w="100"/>
              <w:left w:type="dxa" w:w="120"/>
              <w:bottom w:type="dxa" w:w="100"/>
              <w:right w:type="dxa" w:w="120"/>
            </w:tcMar>
            <w:vAlign w:val="center"/>
          </w:tcPr>
          <w:p>
            <w:r>
              <w:rPr>
                <w:b/>
                <w:bCs/>
                <w:color w:val="FFFFFF"/>
                <w:sz w:val="19"/>
                <w:szCs w:val="19"/>
              </w:rPr>
              <w:t xml:space="preserve">Slides</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0:00–0:10</w:t>
            </w:r>
          </w:p>
        </w:tc>
        <w:tc>
          <w:tcPr>
            <w:tcW w:type="dxa" w:w="4300"/>
            <w:tcMar>
              <w:top w:type="dxa" w:w="100"/>
              <w:left w:type="dxa" w:w="120"/>
              <w:bottom w:type="dxa" w:w="100"/>
              <w:right w:type="dxa" w:w="120"/>
            </w:tcMar>
            <w:vAlign w:val="center"/>
          </w:tcPr>
          <w:p>
            <w:r>
              <w:rPr>
                <w:b w:val="false"/>
                <w:bCs w:val="false"/>
                <w:color w:val="1F2937"/>
                <w:sz w:val="19"/>
                <w:szCs w:val="19"/>
              </w:rPr>
              <w:t xml:space="preserve">Terugkoppeling 2.6 + de vier drijvers ophalen</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2</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0:10–0:25</w:t>
            </w:r>
          </w:p>
        </w:tc>
        <w:tc>
          <w:tcPr>
            <w:tcW w:type="dxa" w:w="4300"/>
            <w:tcMar>
              <w:top w:type="dxa" w:w="100"/>
              <w:left w:type="dxa" w:w="120"/>
              <w:bottom w:type="dxa" w:w="100"/>
              <w:right w:type="dxa" w:w="120"/>
            </w:tcMar>
            <w:vAlign w:val="center"/>
          </w:tcPr>
          <w:p>
            <w:r>
              <w:rPr>
                <w:b w:val="false"/>
                <w:bCs w:val="false"/>
                <w:color w:val="1F2937"/>
                <w:sz w:val="19"/>
                <w:szCs w:val="19"/>
              </w:rPr>
              <w:t xml:space="preserve">Maand elf: het verzoek en de drie gebroken functies</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3–7</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0:25–0:50</w:t>
            </w:r>
          </w:p>
        </w:tc>
        <w:tc>
          <w:tcPr>
            <w:tcW w:type="dxa" w:w="4300"/>
            <w:tcMar>
              <w:top w:type="dxa" w:w="100"/>
              <w:left w:type="dxa" w:w="120"/>
              <w:bottom w:type="dxa" w:w="100"/>
              <w:right w:type="dxa" w:w="120"/>
            </w:tcMar>
            <w:vAlign w:val="center"/>
          </w:tcPr>
          <w:p>
            <w:r>
              <w:rPr>
                <w:b w:val="false"/>
                <w:bCs w:val="false"/>
                <w:color w:val="1F2937"/>
                <w:sz w:val="19"/>
                <w:szCs w:val="19"/>
              </w:rPr>
              <w:t xml:space="preserve">Koppeling: soorten, richtingen, de onzichtbare twee</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8–13</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0:50–1:05</w:t>
            </w:r>
          </w:p>
        </w:tc>
        <w:tc>
          <w:tcPr>
            <w:tcW w:type="dxa" w:w="4300"/>
            <w:tcMar>
              <w:top w:type="dxa" w:w="100"/>
              <w:left w:type="dxa" w:w="120"/>
              <w:bottom w:type="dxa" w:w="100"/>
              <w:right w:type="dxa" w:w="120"/>
            </w:tcMar>
            <w:vAlign w:val="center"/>
          </w:tcPr>
          <w:p>
            <w:r>
              <w:rPr>
                <w:b w:val="false"/>
                <w:bCs w:val="false"/>
                <w:color w:val="1F2937"/>
                <w:sz w:val="19"/>
                <w:szCs w:val="19"/>
              </w:rPr>
              <w:t xml:space="preserve">Opdracht 3.1 — classificeren</w:t>
            </w:r>
          </w:p>
        </w:tc>
        <w:tc>
          <w:tcPr>
            <w:tcW w:type="dxa" w:w="2300"/>
            <w:tcMar>
              <w:top w:type="dxa" w:w="100"/>
              <w:left w:type="dxa" w:w="120"/>
              <w:bottom w:type="dxa" w:w="100"/>
              <w:right w:type="dxa" w:w="120"/>
            </w:tcMar>
            <w:vAlign w:val="center"/>
          </w:tcPr>
          <w:p>
            <w:r>
              <w:rPr>
                <w:b w:val="false"/>
                <w:bCs w:val="false"/>
                <w:color w:val="1F2937"/>
                <w:sz w:val="19"/>
                <w:szCs w:val="19"/>
              </w:rPr>
              <w:t xml:space="preserve">individueel + 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14</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1:05–1:15</w:t>
            </w:r>
          </w:p>
        </w:tc>
        <w:tc>
          <w:tcPr>
            <w:tcW w:type="dxa" w:w="4300"/>
            <w:tcMar>
              <w:top w:type="dxa" w:w="100"/>
              <w:left w:type="dxa" w:w="120"/>
              <w:bottom w:type="dxa" w:w="100"/>
              <w:right w:type="dxa" w:w="120"/>
            </w:tcMar>
            <w:vAlign w:val="center"/>
          </w:tcPr>
          <w:p>
            <w:r>
              <w:rPr>
                <w:b w:val="false"/>
                <w:bCs w:val="false"/>
                <w:color w:val="1F2937"/>
                <w:sz w:val="19"/>
                <w:szCs w:val="19"/>
              </w:rPr>
              <w:t xml:space="preserve">Pauze</w:t>
            </w:r>
          </w:p>
        </w:tc>
        <w:tc>
          <w:tcPr>
            <w:tcW w:type="dxa" w:w="2300"/>
            <w:tcMar>
              <w:top w:type="dxa" w:w="100"/>
              <w:left w:type="dxa" w:w="120"/>
              <w:bottom w:type="dxa" w:w="100"/>
              <w:right w:type="dxa" w:w="120"/>
            </w:tcMar>
            <w:vAlign w:val="center"/>
          </w:tcPr>
          <w:p>
            <w:r>
              <w:rPr>
                <w:b w:val="false"/>
                <w:bCs w:val="false"/>
                <w:color w:val="1F2937"/>
                <w:sz w:val="19"/>
                <w:szCs w:val="19"/>
              </w:rPr>
              <w:t xml:space="preserve"/>
            </w:r>
          </w:p>
        </w:tc>
        <w:tc>
          <w:tcPr>
            <w:tcW w:type="dxa" w:w="1538"/>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1:15–1:35</w:t>
            </w:r>
          </w:p>
        </w:tc>
        <w:tc>
          <w:tcPr>
            <w:tcW w:type="dxa" w:w="4300"/>
            <w:tcMar>
              <w:top w:type="dxa" w:w="100"/>
              <w:left w:type="dxa" w:w="120"/>
              <w:bottom w:type="dxa" w:w="100"/>
              <w:right w:type="dxa" w:w="120"/>
            </w:tcMar>
            <w:vAlign w:val="center"/>
          </w:tcPr>
          <w:p>
            <w:r>
              <w:rPr>
                <w:b w:val="false"/>
                <w:bCs w:val="false"/>
                <w:color w:val="1F2937"/>
                <w:sz w:val="19"/>
                <w:szCs w:val="19"/>
              </w:rPr>
              <w:t xml:space="preserve">Cohesie en de reden-van-verandering-toets</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15–18</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1:35–1:50</w:t>
            </w:r>
          </w:p>
        </w:tc>
        <w:tc>
          <w:tcPr>
            <w:tcW w:type="dxa" w:w="4300"/>
            <w:tcMar>
              <w:top w:type="dxa" w:w="100"/>
              <w:left w:type="dxa" w:w="120"/>
              <w:bottom w:type="dxa" w:w="100"/>
              <w:right w:type="dxa" w:w="120"/>
            </w:tcMar>
            <w:vAlign w:val="center"/>
          </w:tcPr>
          <w:p>
            <w:r>
              <w:rPr>
                <w:b w:val="false"/>
                <w:bCs w:val="false"/>
                <w:color w:val="1F2937"/>
                <w:sz w:val="19"/>
                <w:szCs w:val="19"/>
              </w:rPr>
              <w:t xml:space="preserve">Waarom dit geen doelen zijn</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19–21</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1:50–2:15</w:t>
            </w:r>
          </w:p>
        </w:tc>
        <w:tc>
          <w:tcPr>
            <w:tcW w:type="dxa" w:w="4300"/>
            <w:tcMar>
              <w:top w:type="dxa" w:w="100"/>
              <w:left w:type="dxa" w:w="120"/>
              <w:bottom w:type="dxa" w:w="100"/>
              <w:right w:type="dxa" w:w="120"/>
            </w:tcMar>
            <w:vAlign w:val="center"/>
          </w:tcPr>
          <w:p>
            <w:r>
              <w:rPr>
                <w:b w:val="false"/>
                <w:bCs w:val="false"/>
                <w:color w:val="1F2937"/>
                <w:sz w:val="19"/>
                <w:szCs w:val="19"/>
              </w:rPr>
              <w:t xml:space="preserve">Information hiding</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22–25</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2:15–2:40</w:t>
            </w:r>
          </w:p>
        </w:tc>
        <w:tc>
          <w:tcPr>
            <w:tcW w:type="dxa" w:w="4300"/>
            <w:tcMar>
              <w:top w:type="dxa" w:w="100"/>
              <w:left w:type="dxa" w:w="120"/>
              <w:bottom w:type="dxa" w:w="100"/>
              <w:right w:type="dxa" w:w="120"/>
            </w:tcMar>
            <w:vAlign w:val="center"/>
          </w:tcPr>
          <w:p>
            <w:r>
              <w:rPr>
                <w:b w:val="false"/>
                <w:bCs w:val="false"/>
                <w:color w:val="1F2937"/>
                <w:sz w:val="19"/>
                <w:szCs w:val="19"/>
              </w:rPr>
              <w:t xml:space="preserve">Opdracht 3.4 — het contract + lektest</w:t>
            </w:r>
          </w:p>
        </w:tc>
        <w:tc>
          <w:tcPr>
            <w:tcW w:type="dxa" w:w="2300"/>
            <w:tcMar>
              <w:top w:type="dxa" w:w="100"/>
              <w:left w:type="dxa" w:w="120"/>
              <w:bottom w:type="dxa" w:w="100"/>
              <w:right w:type="dxa" w:w="120"/>
            </w:tcMar>
            <w:vAlign w:val="center"/>
          </w:tcPr>
          <w:p>
            <w:r>
              <w:rPr>
                <w:b w:val="false"/>
                <w:bCs w:val="false"/>
                <w:color w:val="1F2937"/>
                <w:sz w:val="19"/>
                <w:szCs w:val="19"/>
              </w:rPr>
              <w:t xml:space="preserve">duo's + 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26</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2:40–2:50</w:t>
            </w:r>
          </w:p>
        </w:tc>
        <w:tc>
          <w:tcPr>
            <w:tcW w:type="dxa" w:w="4300"/>
            <w:tcMar>
              <w:top w:type="dxa" w:w="100"/>
              <w:left w:type="dxa" w:w="120"/>
              <w:bottom w:type="dxa" w:w="100"/>
              <w:right w:type="dxa" w:w="120"/>
            </w:tcMar>
            <w:vAlign w:val="center"/>
          </w:tcPr>
          <w:p>
            <w:r>
              <w:rPr>
                <w:b w:val="false"/>
                <w:bCs w:val="false"/>
                <w:color w:val="1F2937"/>
                <w:sz w:val="19"/>
                <w:szCs w:val="19"/>
              </w:rPr>
              <w:t xml:space="preserve">Pauze</w:t>
            </w:r>
          </w:p>
        </w:tc>
        <w:tc>
          <w:tcPr>
            <w:tcW w:type="dxa" w:w="2300"/>
            <w:tcMar>
              <w:top w:type="dxa" w:w="100"/>
              <w:left w:type="dxa" w:w="120"/>
              <w:bottom w:type="dxa" w:w="100"/>
              <w:right w:type="dxa" w:w="120"/>
            </w:tcMar>
            <w:vAlign w:val="center"/>
          </w:tcPr>
          <w:p>
            <w:r>
              <w:rPr>
                <w:b w:val="false"/>
                <w:bCs w:val="false"/>
                <w:color w:val="1F2937"/>
                <w:sz w:val="19"/>
                <w:szCs w:val="19"/>
              </w:rPr>
              <w:t xml:space="preserve"/>
            </w:r>
          </w:p>
        </w:tc>
        <w:tc>
          <w:tcPr>
            <w:tcW w:type="dxa" w:w="1538"/>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2:50–3:05</w:t>
            </w:r>
          </w:p>
        </w:tc>
        <w:tc>
          <w:tcPr>
            <w:tcW w:type="dxa" w:w="4300"/>
            <w:tcMar>
              <w:top w:type="dxa" w:w="100"/>
              <w:left w:type="dxa" w:w="120"/>
              <w:bottom w:type="dxa" w:w="100"/>
              <w:right w:type="dxa" w:w="120"/>
            </w:tcMar>
            <w:vAlign w:val="center"/>
          </w:tcPr>
          <w:p>
            <w:r>
              <w:rPr>
                <w:b w:val="false"/>
                <w:bCs w:val="false"/>
                <w:color w:val="1F2937"/>
                <w:sz w:val="19"/>
                <w:szCs w:val="19"/>
              </w:rPr>
              <w:t xml:space="preserve">Waarlangs snijdt u? Drie criteria</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27–29</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3:05–3:45</w:t>
            </w:r>
          </w:p>
        </w:tc>
        <w:tc>
          <w:tcPr>
            <w:tcW w:type="dxa" w:w="4300"/>
            <w:tcMar>
              <w:top w:type="dxa" w:w="100"/>
              <w:left w:type="dxa" w:w="120"/>
              <w:bottom w:type="dxa" w:w="100"/>
              <w:right w:type="dxa" w:w="120"/>
            </w:tcMar>
            <w:vAlign w:val="center"/>
          </w:tcPr>
          <w:p>
            <w:r>
              <w:rPr>
                <w:b w:val="false"/>
                <w:bCs w:val="false"/>
                <w:color w:val="1F2937"/>
                <w:sz w:val="19"/>
                <w:szCs w:val="19"/>
              </w:rPr>
              <w:t xml:space="preserve">Opdracht 3.3 — twee indelingen, drie wijzigingen</w:t>
            </w:r>
          </w:p>
        </w:tc>
        <w:tc>
          <w:tcPr>
            <w:tcW w:type="dxa" w:w="2300"/>
            <w:tcMar>
              <w:top w:type="dxa" w:w="100"/>
              <w:left w:type="dxa" w:w="120"/>
              <w:bottom w:type="dxa" w:w="100"/>
              <w:right w:type="dxa" w:w="120"/>
            </w:tcMar>
            <w:vAlign w:val="center"/>
          </w:tcPr>
          <w:p>
            <w:r>
              <w:rPr>
                <w:b w:val="false"/>
                <w:bCs w:val="false"/>
                <w:color w:val="1F2937"/>
                <w:sz w:val="19"/>
                <w:szCs w:val="19"/>
              </w:rPr>
              <w:t xml:space="preserve">groepen van vier</w:t>
            </w:r>
          </w:p>
        </w:tc>
        <w:tc>
          <w:tcPr>
            <w:tcW w:type="dxa" w:w="1538"/>
            <w:tcMar>
              <w:top w:type="dxa" w:w="100"/>
              <w:left w:type="dxa" w:w="120"/>
              <w:bottom w:type="dxa" w:w="100"/>
              <w:right w:type="dxa" w:w="120"/>
            </w:tcMar>
            <w:vAlign w:val="center"/>
          </w:tcPr>
          <w:p>
            <w:r>
              <w:rPr>
                <w:b w:val="false"/>
                <w:bCs w:val="false"/>
                <w:color w:val="1F2937"/>
                <w:sz w:val="19"/>
                <w:szCs w:val="19"/>
              </w:rPr>
              <w:t xml:space="preserve">30</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3:45–3:55</w:t>
            </w:r>
          </w:p>
        </w:tc>
        <w:tc>
          <w:tcPr>
            <w:tcW w:type="dxa" w:w="4300"/>
            <w:tcMar>
              <w:top w:type="dxa" w:w="100"/>
              <w:left w:type="dxa" w:w="120"/>
              <w:bottom w:type="dxa" w:w="100"/>
              <w:right w:type="dxa" w:w="120"/>
            </w:tcMar>
            <w:vAlign w:val="center"/>
          </w:tcPr>
          <w:p>
            <w:r>
              <w:rPr>
                <w:b w:val="false"/>
                <w:bCs w:val="false"/>
                <w:color w:val="1F2937"/>
                <w:sz w:val="19"/>
                <w:szCs w:val="19"/>
              </w:rPr>
              <w:t xml:space="preserve">Conceptual integrity</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31–33</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3:55–4:00</w:t>
            </w:r>
          </w:p>
        </w:tc>
        <w:tc>
          <w:tcPr>
            <w:tcW w:type="dxa" w:w="4300"/>
            <w:tcMar>
              <w:top w:type="dxa" w:w="100"/>
              <w:left w:type="dxa" w:w="120"/>
              <w:bottom w:type="dxa" w:w="100"/>
              <w:right w:type="dxa" w:w="120"/>
            </w:tcMar>
            <w:vAlign w:val="center"/>
          </w:tcPr>
          <w:p>
            <w:r>
              <w:rPr>
                <w:b w:val="false"/>
                <w:bCs w:val="false"/>
                <w:color w:val="1F2937"/>
                <w:sz w:val="19"/>
                <w:szCs w:val="19"/>
              </w:rPr>
              <w:t xml:space="preserve">Klassieke principes, B3, huiswerk</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34–36</w:t>
            </w:r>
          </w:p>
        </w:tc>
      </w:tr>
    </w:tbl>
    <w:p>
      <w:pPr>
        <w:spacing w:after="300"/>
      </w:pPr>
    </w:p>
    <w:p>
      <w:pPr>
        <w:spacing w:after="160" w:line="276"/>
      </w:pPr>
      <w:r>
        <w:rPr>
          <w:b/>
          <w:bCs/>
          <w:color w:val="1F2937"/>
          <w:sz w:val="22"/>
          <w:szCs w:val="22"/>
        </w:rPr>
        <w:t xml:space="preserve">Opdracht 3.2 (verkeerde abstractie ontrafelen) en 3.5 (DRY of niet) staan niet in de planning.</w:t>
      </w:r>
      <w:r>
        <w:rPr>
          <w:color w:val="1F2937"/>
          <w:sz w:val="22"/>
          <w:szCs w:val="22"/>
        </w:rPr>
        <w:t xml:space="preserve"> Keuzes:</w:t>
      </w:r>
    </w:p>
    <w:p>
      <w:pPr>
        <w:pStyle w:val="ListParagraph"/>
        <w:numPr>
          <w:ilvl w:val="0"/>
          <w:numId w:val="3"/>
        </w:numPr>
        <w:spacing w:after="100"/>
      </w:pPr>
      <w:r>
        <w:rPr>
          <w:b/>
          <w:bCs/>
          <w:color w:val="1F2937"/>
          <w:sz w:val="22"/>
          <w:szCs w:val="22"/>
        </w:rPr>
        <w:t xml:space="preserve">Groep met veel ontwikkelaars:</w:t>
      </w:r>
      <w:r>
        <w:rPr>
          <w:color w:val="1F2937"/>
          <w:sz w:val="22"/>
          <w:szCs w:val="22"/>
        </w:rPr>
        <w:t xml:space="preserve"> vervang 3.4 door 3.2. Ontwikkelaars hebben de meeste baat bij het ontrafelen van de zeven gebruikers; het contract schrijven ligt hen doorgaans al goed.</w:t>
      </w:r>
    </w:p>
    <w:p>
      <w:pPr>
        <w:pStyle w:val="ListParagraph"/>
        <w:numPr>
          <w:ilvl w:val="0"/>
          <w:numId w:val="3"/>
        </w:numPr>
        <w:spacing w:after="100"/>
      </w:pPr>
      <w:r>
        <w:rPr>
          <w:b/>
          <w:bCs/>
          <w:color w:val="1F2937"/>
          <w:sz w:val="22"/>
          <w:szCs w:val="22"/>
        </w:rPr>
        <w:t xml:space="preserve">Groep met analisten of architecten zonder recente bouwervaring:</w:t>
      </w:r>
      <w:r>
        <w:rPr>
          <w:color w:val="1F2937"/>
          <w:sz w:val="22"/>
          <w:szCs w:val="22"/>
        </w:rPr>
        <w:t xml:space="preserve"> houd 3.4, en doe 3.5 klassikaal in tien minuten aan het eind in plaats van de uitgebreide behandeling van de klassieke principes.</w:t>
      </w:r>
    </w:p>
    <w:p>
      <w:pPr>
        <w:pStyle w:val="ListParagraph"/>
        <w:numPr>
          <w:ilvl w:val="0"/>
          <w:numId w:val="3"/>
        </w:numPr>
        <w:spacing w:after="100"/>
      </w:pPr>
      <w:r>
        <w:rPr>
          <w:b/>
          <w:bCs/>
          <w:color w:val="1F2937"/>
          <w:sz w:val="22"/>
          <w:szCs w:val="22"/>
        </w:rPr>
        <w:t xml:space="preserve">Dagdeel van 4,5 uur:</w:t>
      </w:r>
      <w:r>
        <w:rPr>
          <w:color w:val="1F2937"/>
          <w:sz w:val="22"/>
          <w:szCs w:val="22"/>
        </w:rPr>
        <w:t xml:space="preserve"> voeg 3.5 toe als individuele opdracht van 15 minuten direct na de lunchpauze; het werkt goed als opwarmer.</w:t>
      </w:r>
    </w:p>
    <w:p>
      <w:pPr>
        <w:spacing w:after="160" w:line="276"/>
      </w:pPr>
      <w:r>
        <w:rPr>
          <w:b/>
          <w:bCs/>
          <w:color w:val="1F2937"/>
          <w:sz w:val="22"/>
          <w:szCs w:val="22"/>
        </w:rPr>
        <w:t xml:space="preserve">Wat u nooit inkort: </w:t>
      </w:r>
      <w:r>
        <w:rPr>
          <w:color w:val="1F2937"/>
          <w:sz w:val="22"/>
          <w:szCs w:val="22"/>
        </w:rPr>
        <w:t xml:space="preserve">opdracht 3.3. Die levert de hoofdindeling op waarop de rest van het niveau staat.</w:t>
      </w:r>
    </w:p>
    <w:p>
      <w:pPr>
        <w:pStyle w:val="Heading1"/>
        <w:pBdr>
          <w:bottom w:val="single" w:color="E5E7EB" w:sz="6" w:space="6"/>
        </w:pBdr>
        <w:spacing w:after="180" w:before="380"/>
      </w:pPr>
      <w:r>
        <w:rPr>
          <w:b/>
          <w:bCs/>
          <w:color w:val="1F3A5F"/>
          <w:sz w:val="30"/>
          <w:szCs w:val="30"/>
        </w:rPr>
        <w:t xml:space="preserve">3. Per onderdeel: aanpak, valkuilen, sturing</w:t>
      </w:r>
    </w:p>
    <w:p>
      <w:pPr>
        <w:pStyle w:val="Heading2"/>
        <w:spacing w:after="140" w:before="260"/>
      </w:pPr>
      <w:r>
        <w:rPr>
          <w:b/>
          <w:bCs/>
          <w:color w:val="4A6789"/>
          <w:sz w:val="24"/>
          <w:szCs w:val="24"/>
        </w:rPr>
        <w:t xml:space="preserve">3.1 Maand elf (slides 3–7)</w:t>
      </w:r>
    </w:p>
    <w:p>
      <w:pPr>
        <w:spacing w:after="160" w:line="276"/>
      </w:pPr>
      <w:r>
        <w:rPr>
          <w:b/>
          <w:bCs/>
          <w:color w:val="1F2937"/>
          <w:sz w:val="22"/>
          <w:szCs w:val="22"/>
        </w:rPr>
        <w:t xml:space="preserve">Aanpak.</w:t>
      </w:r>
      <w:r>
        <w:rPr>
          <w:color w:val="1F2937"/>
          <w:sz w:val="22"/>
          <w:szCs w:val="22"/>
        </w:rPr>
        <w:t xml:space="preserve"> Vertel eerst alleen het verzoek (slide 4) en vraag de groep om een schatting. Er komt altijd "een paar dagen" of "een week". Toon dan slide 5.</w:t>
      </w:r>
    </w:p>
    <w:p>
      <w:pPr>
        <w:spacing w:after="160" w:line="276"/>
      </w:pPr>
      <w:r>
        <w:rPr>
          <w:color w:val="1F2937"/>
          <w:sz w:val="22"/>
          <w:szCs w:val="22"/>
        </w:rPr>
        <w:t xml:space="preserve">Dit werkt beter dan de cijfers meteen tonen, omdat de groep zichzelf betrapt op dezelfde inschatting die het project maakte. Zeg dat er niet bij; het landt vanzelf.</w:t>
      </w:r>
    </w:p>
    <w:p>
      <w:pPr>
        <w:spacing w:after="160" w:line="276"/>
      </w:pPr>
      <w:r>
        <w:rPr>
          <w:b/>
          <w:bCs/>
          <w:color w:val="1F2937"/>
          <w:sz w:val="22"/>
          <w:szCs w:val="22"/>
        </w:rPr>
        <w:t xml:space="preserve">De sleutelzin bij slide 5: </w:t>
      </w:r>
      <w:r>
        <w:rPr>
          <w:color w:val="1F2937"/>
          <w:sz w:val="22"/>
          <w:szCs w:val="22"/>
        </w:rPr>
        <w:t xml:space="preserve">geen van deze drie functies heeft iets met buitenlandse adressen te maken. Laat de groep even zoeken naar de verklaring voordat u naar koppeling gaat.</w:t>
      </w:r>
    </w:p>
    <w:p>
      <w:pPr>
        <w:pStyle w:val="Heading2"/>
        <w:spacing w:after="140" w:before="260"/>
      </w:pPr>
      <w:r>
        <w:rPr>
          <w:b/>
          <w:bCs/>
          <w:color w:val="4A6789"/>
          <w:sz w:val="24"/>
          <w:szCs w:val="24"/>
        </w:rPr>
        <w:t xml:space="preserve">3.2 Koppeling (slides 8–14)</w:t>
      </w:r>
    </w:p>
    <w:p>
      <w:pPr>
        <w:spacing w:after="160" w:line="276"/>
      </w:pPr>
      <w:r>
        <w:rPr>
          <w:b/>
          <w:bCs/>
          <w:color w:val="1F2937"/>
          <w:sz w:val="22"/>
          <w:szCs w:val="22"/>
        </w:rPr>
        <w:t xml:space="preserve">Slide 9 is de framing die het hele deel draagt: </w:t>
      </w:r>
      <w:r>
        <w:rPr>
          <w:color w:val="1F2937"/>
          <w:sz w:val="22"/>
          <w:szCs w:val="22"/>
        </w:rPr>
        <w:t xml:space="preserve">koppeling is geen eigenschap van uw diagram maar van uw werkweek. Deelnemers die koppeling associëren met pijlen in een plaatje, missen precies de gevallen die schade veroorzaken.</w:t>
      </w:r>
    </w:p>
    <w:p>
      <w:pPr>
        <w:spacing w:after="160" w:line="276"/>
      </w:pPr>
      <w:r>
        <w:rPr>
          <w:b/>
          <w:bCs/>
          <w:color w:val="1F2937"/>
          <w:sz w:val="22"/>
          <w:szCs w:val="22"/>
        </w:rPr>
        <w:t xml:space="preserve">Besteed de meeste tijd aan slide 12</w:t>
      </w:r>
      <w:r>
        <w:rPr>
          <w:color w:val="1F2937"/>
          <w:sz w:val="22"/>
          <w:szCs w:val="22"/>
        </w:rPr>
        <w:t xml:space="preserve"> (hergebruik verhoogt afferente koppeling). Dit is de eerste van de drie omkeringen en de groep verzet zich er vaak tegen, want hergebruik is jarenlang als deugd geleerd.</w:t>
      </w:r>
    </w:p>
    <w:p>
      <w:pPr>
        <w:spacing w:after="160" w:line="276"/>
      </w:pPr>
      <w:r>
        <w:rPr>
          <w:color w:val="1F2937"/>
          <w:sz w:val="22"/>
          <w:szCs w:val="22"/>
        </w:rPr>
        <w:t xml:space="preserve">Het argument dat werkt: de adresvalidatie werd door zeven componenten gebruikt. Dat is geslaagd hergebruik. Precies daarom kon niemand haar wijzigen zonder iemand te schaden. Voeg toe: hergebruik is goed wanneer de gebruikers hetzelfde willen, en schadelijk wanneer ze verschillende dingen willen — en dat weet u pas als u het naloopt.</w:t>
      </w:r>
    </w:p>
    <w:p>
      <w:pPr>
        <w:spacing w:after="160" w:line="276"/>
      </w:pPr>
      <w:r>
        <w:rPr>
          <w:b/>
          <w:bCs/>
          <w:color w:val="1F2937"/>
          <w:sz w:val="22"/>
          <w:szCs w:val="22"/>
        </w:rPr>
        <w:t xml:space="preserve">Slide 13 (temporeel en semantisch) niet overslaan.</w:t>
      </w:r>
      <w:r>
        <w:rPr>
          <w:color w:val="1F2937"/>
          <w:sz w:val="22"/>
          <w:szCs w:val="22"/>
        </w:rPr>
        <w:t xml:space="preserve"> Dit zijn de koppelingen die in geen enkel gereedschap zichtbaar zijn, en in de pensioen- en verzekeringspraktijk de meest voorkomende bron van stille fouten. Het rijtje peildatum/ingangsdatum/verwerkingsdatum is voor deze doelgroep pijnlijk herkenbaar; laat de groep er even op reageren.</w:t>
      </w:r>
    </w:p>
    <w:p>
      <w:pPr>
        <w:pStyle w:val="Heading2"/>
        <w:spacing w:after="140" w:before="260"/>
      </w:pPr>
      <w:r>
        <w:rPr>
          <w:b/>
          <w:bCs/>
          <w:color w:val="4A6789"/>
          <w:sz w:val="24"/>
          <w:szCs w:val="24"/>
        </w:rPr>
        <w:t xml:space="preserve">3.3 Opdracht 3.1 (15 minuten)</w:t>
      </w:r>
    </w:p>
    <w:p>
      <w:pPr>
        <w:spacing w:after="160" w:line="276"/>
      </w:pPr>
      <w:r>
        <w:rPr>
          <w:color w:val="1F2937"/>
          <w:sz w:val="22"/>
          <w:szCs w:val="22"/>
        </w:rPr>
        <w:t xml:space="preserve">Individueel 8 minuten, plenair 7. Bespreek 2, 4, 5 en 7, plus de vervolgvraag.</w:t>
      </w:r>
    </w:p>
    <w:p>
      <w:pPr>
        <w:pStyle w:val="ListParagraph"/>
        <w:numPr>
          <w:ilvl w:val="0"/>
          <w:numId w:val="3"/>
        </w:numPr>
        <w:spacing w:after="100"/>
      </w:pPr>
      <w:r>
        <w:rPr>
          <w:b/>
          <w:bCs/>
          <w:color w:val="1F2937"/>
          <w:sz w:val="22"/>
          <w:szCs w:val="22"/>
        </w:rPr>
        <w:t xml:space="preserve">2</w:t>
      </w:r>
      <w:r>
        <w:rPr>
          <w:color w:val="1F2937"/>
          <w:sz w:val="22"/>
          <w:szCs w:val="22"/>
        </w:rPr>
        <w:t xml:space="preserve"> (inhoudskoppeling via een gelezen veld) is het ergste geval en het minst herkende.</w:t>
      </w:r>
    </w:p>
    <w:p>
      <w:pPr>
        <w:pStyle w:val="ListParagraph"/>
        <w:numPr>
          <w:ilvl w:val="0"/>
          <w:numId w:val="3"/>
        </w:numPr>
        <w:spacing w:after="100"/>
      </w:pPr>
      <w:r>
        <w:rPr>
          <w:b/>
          <w:bCs/>
          <w:color w:val="1F2937"/>
          <w:sz w:val="22"/>
          <w:szCs w:val="22"/>
        </w:rPr>
        <w:t xml:space="preserve">4</w:t>
      </w:r>
      <w:r>
        <w:rPr>
          <w:color w:val="1F2937"/>
          <w:sz w:val="22"/>
          <w:szCs w:val="22"/>
        </w:rPr>
        <w:t xml:space="preserve"> (besturingskoppeling met een vlag) levert het beste inzicht op: een strikt-parameter is vaak het teken dat er twee componenten in één zitten. Zeg dat expliciet — het is de opmaat naar opdracht 3.2.</w:t>
      </w:r>
    </w:p>
    <w:p>
      <w:pPr>
        <w:pStyle w:val="ListParagraph"/>
        <w:numPr>
          <w:ilvl w:val="0"/>
          <w:numId w:val="3"/>
        </w:numPr>
        <w:spacing w:after="100"/>
      </w:pPr>
      <w:r>
        <w:rPr>
          <w:b/>
          <w:bCs/>
          <w:color w:val="1F2937"/>
          <w:sz w:val="22"/>
          <w:szCs w:val="22"/>
        </w:rPr>
        <w:t xml:space="preserve">5 en 7</w:t>
      </w:r>
      <w:r>
        <w:rPr>
          <w:color w:val="1F2937"/>
          <w:sz w:val="22"/>
          <w:szCs w:val="22"/>
        </w:rPr>
        <w:t xml:space="preserve"> verklaren rechtstreeks twee van de drie gebroken functies.</w:t>
      </w:r>
    </w:p>
    <w:p>
      <w:pPr>
        <w:spacing w:after="160" w:line="276"/>
      </w:pPr>
      <w:r>
        <w:rPr>
          <w:b/>
          <w:bCs/>
          <w:color w:val="1F2937"/>
          <w:sz w:val="22"/>
          <w:szCs w:val="22"/>
        </w:rPr>
        <w:t xml:space="preserve">De vervolgvraag is het belangrijkste onderdeel.</w:t>
      </w:r>
      <w:r>
        <w:rPr>
          <w:color w:val="1F2937"/>
          <w:sz w:val="22"/>
          <w:szCs w:val="22"/>
        </w:rPr>
        <w:t xml:space="preserve"> Vier van de acht koppelingen staan niet in een gegenereerd afhankelijkhedenoverzicht. Groepen met veel toolvertrouwen (statische analyse, dependency graphs) hebben hier het meest aan. De formulering die aankomt: wat u niet ziet is doorgaans erger dan wat u ziet, juist omdat het niet gezien wordt.</w:t>
      </w:r>
    </w:p>
    <w:p>
      <w:pPr>
        <w:pStyle w:val="Heading2"/>
        <w:spacing w:after="140" w:before="260"/>
      </w:pPr>
      <w:r>
        <w:rPr>
          <w:b/>
          <w:bCs/>
          <w:color w:val="4A6789"/>
          <w:sz w:val="24"/>
          <w:szCs w:val="24"/>
        </w:rPr>
        <w:t xml:space="preserve">3.4 Cohesie (slides 15–18)</w:t>
      </w:r>
    </w:p>
    <w:p>
      <w:pPr>
        <w:spacing w:after="160" w:line="276"/>
      </w:pPr>
      <w:r>
        <w:rPr>
          <w:b/>
          <w:bCs/>
          <w:color w:val="1F2937"/>
          <w:sz w:val="22"/>
          <w:szCs w:val="22"/>
        </w:rPr>
        <w:t xml:space="preserve">Slide 17 is het scharnier van het dagdeel: </w:t>
      </w:r>
      <w:r>
        <w:rPr>
          <w:color w:val="1F2937"/>
          <w:sz w:val="22"/>
          <w:szCs w:val="22"/>
        </w:rPr>
        <w:t xml:space="preserve">"validatie hoort bij validatie" klinkt goed, is logische cohesie, kostte vijf weken.</w:t>
      </w:r>
    </w:p>
    <w:p>
      <w:pPr>
        <w:spacing w:after="160" w:line="276"/>
      </w:pPr>
      <w:r>
        <w:rPr>
          <w:b/>
          <w:bCs/>
          <w:color w:val="1F2937"/>
          <w:sz w:val="22"/>
          <w:szCs w:val="22"/>
        </w:rPr>
        <w:t xml:space="preserve">Werkvorm die goed werkt: </w:t>
      </w:r>
      <w:r>
        <w:rPr>
          <w:color w:val="1F2937"/>
          <w:sz w:val="22"/>
          <w:szCs w:val="22"/>
        </w:rPr>
        <w:t xml:space="preserve">vraag de groep om binnen één minuut een component uit hun eigen systeem te noemen dat Utils, Common, Shared of Helpers heet. Bijna iedereen heeft er een. Vraag dan: wie is de eigenaar, en om welke reden verandert het? Er is geen antwoord. Dat is toevallige cohesie, en het staat in ieders codebase.</w:t>
      </w:r>
    </w:p>
    <w:p>
      <w:pPr>
        <w:spacing w:after="160" w:line="276"/>
      </w:pPr>
      <w:r>
        <w:rPr>
          <w:b/>
          <w:bCs/>
          <w:color w:val="1F2937"/>
          <w:sz w:val="22"/>
          <w:szCs w:val="22"/>
        </w:rPr>
        <w:t xml:space="preserve">Valkuil: </w:t>
      </w:r>
      <w:r>
        <w:rPr>
          <w:color w:val="1F2937"/>
          <w:sz w:val="22"/>
          <w:szCs w:val="22"/>
        </w:rPr>
        <w:t xml:space="preserve">de groep gaat de cohesieladder uit het hoofd leren. Dat is niet nodig, en het examen vraagt het niet in die vorm. Wat nodig is, is de toets van slide 18. Zeg dat.</w:t>
      </w:r>
    </w:p>
    <w:p>
      <w:pPr>
        <w:pStyle w:val="Heading2"/>
        <w:spacing w:after="140" w:before="260"/>
      </w:pPr>
      <w:r>
        <w:rPr>
          <w:b/>
          <w:bCs/>
          <w:color w:val="4A6789"/>
          <w:sz w:val="24"/>
          <w:szCs w:val="24"/>
        </w:rPr>
        <w:t xml:space="preserve">3.5 Waarom dit geen doelen zijn (slides 19–21)</w:t>
      </w:r>
    </w:p>
    <w:p>
      <w:pPr>
        <w:spacing w:after="160" w:line="276"/>
      </w:pPr>
      <w:r>
        <w:rPr>
          <w:color w:val="1F2937"/>
          <w:sz w:val="22"/>
          <w:szCs w:val="22"/>
        </w:rPr>
        <w:t xml:space="preserve">Kort maar niet overslaan. Het punt op slide 20 — lage koppeling is te koop, de prijs is complexiteit — voorkomt de overcorrectie die anders in opdracht 3.3 optreedt (groepen die alles ontkoppelen met gebeurtenissen en interfaces).</w:t>
      </w:r>
    </w:p>
    <w:p>
      <w:pPr>
        <w:spacing w:after="160" w:line="276"/>
      </w:pPr>
      <w:r>
        <w:rPr>
          <w:b/>
          <w:bCs/>
          <w:color w:val="1F2937"/>
          <w:sz w:val="22"/>
          <w:szCs w:val="22"/>
        </w:rPr>
        <w:t xml:space="preserve">Slide 21 verbindt terug naar deel 2.</w:t>
      </w:r>
      <w:r>
        <w:rPr>
          <w:color w:val="1F2937"/>
          <w:sz w:val="22"/>
          <w:szCs w:val="22"/>
        </w:rPr>
        <w:t xml:space="preserve"> Deelnemers moeten hun vier drijvers erbij pakken; laat ze dat fysiek doen.</w:t>
      </w:r>
    </w:p>
    <w:p>
      <w:pPr>
        <w:pStyle w:val="Heading2"/>
        <w:spacing w:after="140" w:before="260"/>
      </w:pPr>
      <w:r>
        <w:rPr>
          <w:b/>
          <w:bCs/>
          <w:color w:val="4A6789"/>
          <w:sz w:val="24"/>
          <w:szCs w:val="24"/>
        </w:rPr>
        <w:t xml:space="preserve">3.6 Information hiding en opdracht 3.4 (slides 22–26, 50 minuten)</w:t>
      </w:r>
    </w:p>
    <w:p>
      <w:pPr>
        <w:spacing w:after="160" w:line="276"/>
      </w:pPr>
      <w:r>
        <w:rPr>
          <w:b/>
          <w:bCs/>
          <w:color w:val="1F2937"/>
          <w:sz w:val="22"/>
          <w:szCs w:val="22"/>
        </w:rPr>
        <w:t xml:space="preserve">De formulering van Parnas letterlijk aanhouden: </w:t>
      </w:r>
      <w:r>
        <w:rPr>
          <w:color w:val="1F2937"/>
          <w:sz w:val="22"/>
          <w:szCs w:val="22"/>
        </w:rPr>
        <w:t xml:space="preserve">een component verbergt een beslissing die waarschijnlijk gaat veranderen. Niet "gegevens verbergen". De helft van de groep heeft information hiding geleerd als encapsulatie op klasseniveau; de architectuurbetekenis is een andere en breder.</w:t>
      </w:r>
    </w:p>
    <w:p>
      <w:pPr>
        <w:spacing w:after="160" w:line="276"/>
      </w:pPr>
      <w:r>
        <w:rPr>
          <w:b/>
          <w:bCs/>
          <w:color w:val="1F2937"/>
          <w:sz w:val="22"/>
          <w:szCs w:val="22"/>
        </w:rPr>
        <w:t xml:space="preserve">Opdracht 3.4, uitvoering.</w:t>
      </w:r>
      <w:r>
        <w:rPr>
          <w:color w:val="1F2937"/>
          <w:sz w:val="22"/>
          <w:szCs w:val="22"/>
        </w:rPr>
        <w:t xml:space="preserve"> 15 minuten werken, 10 minuten plenair. Loop rond en let op twee dingen:</w:t>
      </w:r>
    </w:p>
    <w:p>
      <w:pPr>
        <w:pStyle w:val="ListParagraph"/>
        <w:numPr>
          <w:ilvl w:val="0"/>
          <w:numId w:val="4"/>
        </w:numPr>
        <w:spacing w:after="120"/>
      </w:pPr>
      <w:r>
        <w:rPr>
          <w:b/>
          <w:bCs/>
          <w:color w:val="1F2937"/>
          <w:sz w:val="22"/>
          <w:szCs w:val="22"/>
        </w:rPr>
        <w:t xml:space="preserve">Duo's die te veel bewerkingen maken</w:t>
      </w:r>
      <w:r>
        <w:rPr>
          <w:color w:val="1F2937"/>
          <w:sz w:val="22"/>
          <w:szCs w:val="22"/>
        </w:rPr>
        <w:t xml:space="preserve"> (tien of meer). Vraag: welke hiervan gebruikt de aanroeper werkelijk? Meestal blijken er vier over te blijven.</w:t>
      </w:r>
    </w:p>
    <w:p>
      <w:pPr>
        <w:pStyle w:val="ListParagraph"/>
        <w:numPr>
          <w:ilvl w:val="0"/>
          <w:numId w:val="4"/>
        </w:numPr>
        <w:spacing w:after="120"/>
      </w:pPr>
      <w:r>
        <w:rPr>
          <w:b/>
          <w:bCs/>
          <w:color w:val="1F2937"/>
          <w:sz w:val="22"/>
          <w:szCs w:val="22"/>
        </w:rPr>
        <w:t xml:space="preserve">Duo's die de lektest oppervlakkig doen.</w:t>
      </w:r>
      <w:r>
        <w:rPr>
          <w:color w:val="1F2937"/>
          <w:sz w:val="22"/>
          <w:szCs w:val="22"/>
        </w:rPr>
        <w:t xml:space="preserve"> De vier standaardlekken uit de uitwerking (isBeschikbaar(), foutcodes doorgeven, een prioriteitsvlag, een tijdsbelofte in de naam) komen in vrijwel elke inzending voor. Als een duo geen enkel lek vindt in het eigen contract, hebben ze niet gezocht.</w:t>
      </w:r>
    </w:p>
    <w:p>
      <w:pPr>
        <w:spacing w:after="160" w:line="276"/>
      </w:pPr>
      <w:r>
        <w:rPr>
          <w:b/>
          <w:bCs/>
          <w:color w:val="1F2937"/>
          <w:sz w:val="22"/>
          <w:szCs w:val="22"/>
        </w:rPr>
        <w:t xml:space="preserve">Plenair: </w:t>
      </w:r>
      <w:r>
        <w:rPr>
          <w:color w:val="1F2937"/>
          <w:sz w:val="22"/>
          <w:szCs w:val="22"/>
        </w:rPr>
        <w:t xml:space="preserve">vraag één duo om hun isBeschikbaar() te verdedigen, als iemand hem heeft. Het gesprek dat volgt — waarom een beschikbaarheidsvraag het hele contract ondermijnt — is het beste moment van dit blok.</w:t>
      </w:r>
    </w:p>
    <w:p>
      <w:pPr>
        <w:spacing w:after="160" w:line="276"/>
      </w:pPr>
      <w:r>
        <w:rPr>
          <w:b/>
          <w:bCs/>
          <w:color w:val="1F2937"/>
          <w:sz w:val="22"/>
          <w:szCs w:val="22"/>
        </w:rPr>
        <w:t xml:space="preserve">Onderdeel d) niet overslaan.</w:t>
      </w:r>
      <w:r>
        <w:rPr>
          <w:color w:val="1F2937"/>
          <w:sz w:val="22"/>
          <w:szCs w:val="22"/>
        </w:rPr>
        <w:t xml:space="preserve"> Dat het contract QS-2 dient en QS-4 duurder maakt, is precies de trade-off die in deel 2 is opgeschreven. Deelnemers die dat verband zelf leggen, hebben de doorlopende lijn te pakken; benoem het als u het ziet.</w:t>
      </w:r>
    </w:p>
    <w:p>
      <w:pPr>
        <w:pStyle w:val="Heading2"/>
        <w:spacing w:after="140" w:before="260"/>
      </w:pPr>
      <w:r>
        <w:rPr>
          <w:b/>
          <w:bCs/>
          <w:color w:val="4A6789"/>
          <w:sz w:val="24"/>
          <w:szCs w:val="24"/>
        </w:rPr>
        <w:t xml:space="preserve">3.7 Opdracht 3.3 — het zwaartepunt (55 minuten)</w:t>
      </w:r>
    </w:p>
    <w:p>
      <w:pPr>
        <w:spacing w:after="160" w:line="276"/>
      </w:pPr>
      <w:r>
        <w:rPr>
          <w:b/>
          <w:bCs/>
          <w:color w:val="1F2937"/>
          <w:sz w:val="22"/>
          <w:szCs w:val="22"/>
        </w:rPr>
        <w:t xml:space="preserve">Introductie (15 min).</w:t>
      </w:r>
      <w:r>
        <w:rPr>
          <w:color w:val="1F2937"/>
          <w:sz w:val="22"/>
          <w:szCs w:val="22"/>
        </w:rPr>
        <w:t xml:space="preserve"> De drie criteria, en vooral: ze concurreren, u moet kiezen welke bovenaan staat.</w:t>
      </w:r>
    </w:p>
    <w:p>
      <w:pPr>
        <w:spacing w:after="160" w:line="276"/>
      </w:pPr>
      <w:r>
        <w:rPr>
          <w:b/>
          <w:bCs/>
          <w:color w:val="1F2937"/>
          <w:sz w:val="22"/>
          <w:szCs w:val="22"/>
        </w:rPr>
        <w:t xml:space="preserve">Uitvoering (40 min).</w:t>
      </w:r>
      <w:r>
        <w:rPr>
          <w:color w:val="1F2937"/>
          <w:sz w:val="22"/>
          <w:szCs w:val="22"/>
        </w:rPr>
        <w:t xml:space="preserve"> Groepen van vier. Grote vellen; twee tekeningen naast elkaar op één vel, dat is essentieel voor het arceren.</w:t>
      </w:r>
    </w:p>
    <w:p>
      <w:pPr>
        <w:spacing w:after="160" w:line="276"/>
      </w:pPr>
      <w:r>
        <w:rPr>
          <w:color w:val="1F2937"/>
          <w:sz w:val="22"/>
          <w:szCs w:val="22"/>
        </w:rPr>
        <w:t xml:space="preserve">Vier interventies om paraat te hebben:</w:t>
      </w:r>
    </w:p>
    <w:p>
      <w:pPr>
        <w:pStyle w:val="ListParagraph"/>
        <w:numPr>
          <w:ilvl w:val="0"/>
          <w:numId w:val="5"/>
        </w:numPr>
        <w:spacing w:after="120"/>
      </w:pPr>
      <w:r>
        <w:rPr>
          <w:b/>
          <w:bCs/>
          <w:color w:val="1F2937"/>
          <w:sz w:val="22"/>
          <w:szCs w:val="22"/>
        </w:rPr>
        <w:t xml:space="preserve">Groep kiest meteen domein en tekent de lagenvariant halfslachtig.</w:t>
      </w:r>
      <w:r>
        <w:rPr>
          <w:color w:val="1F2937"/>
          <w:sz w:val="22"/>
          <w:szCs w:val="22"/>
        </w:rPr>
        <w:t xml:space="preserve"> Veelvoorkomend, want de uitkomst voelt voorspelbaar. Dwing beide tekeningen af — de opdracht draait om wijziging c), waar de lagenindeling wint. Zonder een serieuze lagentekening missen ze dat.</w:t>
      </w:r>
    </w:p>
    <w:p>
      <w:pPr>
        <w:pStyle w:val="ListParagraph"/>
        <w:numPr>
          <w:ilvl w:val="0"/>
          <w:numId w:val="5"/>
        </w:numPr>
        <w:spacing w:after="120"/>
      </w:pPr>
      <w:r>
        <w:rPr>
          <w:b/>
          <w:bCs/>
          <w:color w:val="1F2937"/>
          <w:sz w:val="22"/>
          <w:szCs w:val="22"/>
        </w:rPr>
        <w:t xml:space="preserve">Groep vergeet wijziging c) door te rekenen.</w:t>
      </w:r>
      <w:r>
        <w:rPr>
          <w:color w:val="1F2937"/>
          <w:sz w:val="22"/>
          <w:szCs w:val="22"/>
        </w:rPr>
        <w:t xml:space="preserve"> Dit is de belangrijkste van de drie. Als elke mutatiesoort zijn eigen aanroep naar de kernadministratie doet, raakt de vervanging alle zes. Dat is het argument voor onderdeel f) en voor de hele integratiecomponent uit opdracht 3.4.</w:t>
      </w:r>
    </w:p>
    <w:p>
      <w:pPr>
        <w:pStyle w:val="ListParagraph"/>
        <w:numPr>
          <w:ilvl w:val="0"/>
          <w:numId w:val="5"/>
        </w:numPr>
        <w:spacing w:after="120"/>
      </w:pPr>
      <w:r>
        <w:rPr>
          <w:b/>
          <w:bCs/>
          <w:color w:val="1F2937"/>
          <w:sz w:val="22"/>
          <w:szCs w:val="22"/>
        </w:rPr>
        <w:t xml:space="preserve">Groep loopt vast bij wijziging d) (Engelse correspondentie).</w:t>
      </w:r>
      <w:r>
        <w:rPr>
          <w:color w:val="1F2937"/>
          <w:sz w:val="22"/>
          <w:szCs w:val="22"/>
        </w:rPr>
        <w:t xml:space="preserve"> Dat is de bedoeling. Deze wijziging loopt noch langs de laag- noch langs de domein-as. Grijp niet meteen in; laat de frustratie even staan en benoem hem dan als cross-cutting concern, met verwijzing naar deel 8.</w:t>
      </w:r>
    </w:p>
    <w:p>
      <w:pPr>
        <w:pStyle w:val="ListParagraph"/>
        <w:numPr>
          <w:ilvl w:val="0"/>
          <w:numId w:val="5"/>
        </w:numPr>
        <w:spacing w:after="120"/>
      </w:pPr>
      <w:r>
        <w:rPr>
          <w:b/>
          <w:bCs/>
          <w:color w:val="1F2937"/>
          <w:sz w:val="22"/>
          <w:szCs w:val="22"/>
        </w:rPr>
        <w:t xml:space="preserve">Groep verantwoordt de keuze met "domein, want DDD/microservices".</w:t>
      </w:r>
      <w:r>
        <w:rPr>
          <w:color w:val="1F2937"/>
          <w:sz w:val="22"/>
          <w:szCs w:val="22"/>
        </w:rPr>
        <w:t xml:space="preserve"> Corrigeer stevig: dat is een voorkeur, geen afweging. Vraag naar de drijvers. Dit is dezelfde fout als B4 in de casus, en het is nuttig dat expliciet te zeggen.</w:t>
      </w:r>
    </w:p>
    <w:p>
      <w:pPr>
        <w:spacing w:after="160" w:line="276"/>
      </w:pPr>
      <w:r>
        <w:rPr>
          <w:b/>
          <w:bCs/>
          <w:color w:val="1F2937"/>
          <w:sz w:val="22"/>
          <w:szCs w:val="22"/>
        </w:rPr>
        <w:t xml:space="preserve">Plenair (binnen de 40 min).</w:t>
      </w:r>
      <w:r>
        <w:rPr>
          <w:color w:val="1F2937"/>
          <w:sz w:val="22"/>
          <w:szCs w:val="22"/>
        </w:rPr>
        <w:t xml:space="preserve"> Laat twee groepen c), e) en f) presenteren. De sleutelconclusie die moet vallen: de domeinindeling wint niet vanzelf — zij wint alleen als de integratie apart wordt gehouden.</w:t>
      </w:r>
    </w:p>
    <w:p>
      <w:pPr>
        <w:pStyle w:val="Heading2"/>
        <w:spacing w:after="140" w:before="260"/>
      </w:pPr>
      <w:r>
        <w:rPr>
          <w:b/>
          <w:bCs/>
          <w:color w:val="4A6789"/>
          <w:sz w:val="24"/>
          <w:szCs w:val="24"/>
        </w:rPr>
        <w:t xml:space="preserve">3.8 Conceptual integrity (slides 31–33)</w:t>
      </w:r>
    </w:p>
    <w:p>
      <w:pPr>
        <w:spacing w:after="160" w:line="276"/>
      </w:pPr>
      <w:r>
        <w:rPr>
          <w:b/>
          <w:bCs/>
          <w:color w:val="1F2937"/>
          <w:sz w:val="22"/>
          <w:szCs w:val="22"/>
        </w:rPr>
        <w:t xml:space="preserve">Kort maar met nadruk. Slide 33 is de belangrijkste zin van het dagdeel voor deelnemers die twijfelen aan het nut van de architectrol: </w:t>
      </w:r>
      <w:r>
        <w:rPr>
          <w:color w:val="1F2937"/>
          <w:sz w:val="22"/>
          <w:szCs w:val="22"/>
        </w:rPr>
        <w:t xml:space="preserve">koppeling en cohesie kan een team lokaal bewaken; consistentie tussen componenten niet.</w:t>
      </w:r>
    </w:p>
    <w:p>
      <w:pPr>
        <w:spacing w:after="160" w:line="276"/>
      </w:pPr>
      <w:r>
        <w:rPr>
          <w:color w:val="1F2937"/>
          <w:sz w:val="22"/>
          <w:szCs w:val="22"/>
        </w:rPr>
        <w:t xml:space="preserve">Dit sluit ook de rolvraag uit deel 1 af, waar de groep discussieerde over kaderstellend versus meewerkend. Verwijs daarnaar; het is de eerste keer dat die discussie een inhoudelijk antwoord krijgt.</w:t>
      </w:r>
    </w:p>
    <w:p>
      <w:pPr>
        <w:pStyle w:val="Heading2"/>
        <w:spacing w:after="140" w:before="260"/>
      </w:pPr>
      <w:r>
        <w:rPr>
          <w:b/>
          <w:bCs/>
          <w:color w:val="4A6789"/>
          <w:sz w:val="24"/>
          <w:szCs w:val="24"/>
        </w:rPr>
        <w:t xml:space="preserve">3.9 De klassieke principes (slides 34–35)</w:t>
      </w:r>
    </w:p>
    <w:p>
      <w:pPr>
        <w:spacing w:after="160" w:line="276"/>
      </w:pPr>
      <w:r>
        <w:rPr>
          <w:color w:val="1F2937"/>
          <w:sz w:val="22"/>
          <w:szCs w:val="22"/>
        </w:rPr>
        <w:t xml:space="preserve">Vijf minuten, en alleen de grenzen. De groep kent de principes; het nieuwe is dat ze grenzen hebben.</w:t>
      </w:r>
    </w:p>
    <w:p>
      <w:pPr>
        <w:spacing w:after="160" w:line="276"/>
      </w:pPr>
      <w:r>
        <w:rPr>
          <w:b/>
          <w:bCs/>
          <w:color w:val="1F2937"/>
          <w:sz w:val="22"/>
          <w:szCs w:val="22"/>
        </w:rPr>
        <w:t xml:space="preserve">Slide 35</w:t>
      </w:r>
      <w:r>
        <w:rPr>
          <w:color w:val="1F2937"/>
          <w:sz w:val="22"/>
          <w:szCs w:val="22"/>
        </w:rPr>
        <w:t xml:space="preserve"> (duplicatie goedkoper dan de verkeerde abstractie) is de derde omkering en de meest omstreden. Verwacht weerstand van deelnemers met een sterke clean-code-achtergrond.</w:t>
      </w:r>
    </w:p>
    <w:p>
      <w:pPr>
        <w:spacing w:after="160" w:line="276"/>
      </w:pPr>
      <w:r>
        <w:rPr>
          <w:color w:val="1F2937"/>
          <w:sz w:val="22"/>
          <w:szCs w:val="22"/>
        </w:rPr>
        <w:t xml:space="preserve">Het argument dat werkt is de casus zelf: de adresvalidatie wás DRY, keurig één implementatie, en precies daarom kostte maand elf vijf weken. Voeg toe: DRY is niet fout, maar het gaat over kennis. Twee stukken code die er hetzelfde uitzien en om verschillende redenen veranderen, zijn geen dubbele kennis maar toevallige gelijkenis.</w:t>
      </w:r>
    </w:p>
    <w:p>
      <w:pPr>
        <w:spacing w:after="160" w:line="276"/>
      </w:pPr>
      <w:r>
        <w:rPr>
          <w:color w:val="1F2937"/>
          <w:sz w:val="22"/>
          <w:szCs w:val="22"/>
        </w:rPr>
        <w:t xml:space="preserve">Als de discussie langer duurt dan drie minuten: parkeer naar deel 11 in niveau 2 (bounded contexts), waar dit formeel behandeld wordt.</w:t>
      </w:r>
    </w:p>
    <w:p>
      <w:pPr>
        <w:pStyle w:val="Heading1"/>
        <w:pBdr>
          <w:bottom w:val="single" w:color="E5E7EB" w:sz="6" w:space="6"/>
        </w:pBdr>
        <w:spacing w:after="180" w:before="380"/>
      </w:pPr>
      <w:r>
        <w:rPr>
          <w:b/>
          <w:bCs/>
          <w:color w:val="1F3A5F"/>
          <w:sz w:val="30"/>
          <w:szCs w:val="30"/>
        </w:rPr>
        <w:t xml:space="preserve">4. Omgaan met bijzondere situaties</w:t>
      </w:r>
    </w:p>
    <w:p>
      <w:pPr>
        <w:spacing w:after="160" w:line="276"/>
      </w:pPr>
      <w:r>
        <w:rPr>
          <w:b/>
          <w:bCs/>
          <w:color w:val="1F2937"/>
          <w:sz w:val="22"/>
          <w:szCs w:val="22"/>
        </w:rPr>
        <w:t xml:space="preserve">"Bij ons is alles een gedeelde service; dat is beleid."</w:t>
      </w:r>
      <w:r>
        <w:rPr>
          <w:color w:val="1F2937"/>
          <w:sz w:val="22"/>
          <w:szCs w:val="22"/>
        </w:rPr>
        <w:t xml:space="preserve"> Veelvoorkomend bij deelnemers uit organisaties met een sterke hergebruikagenda. Ga hier niet tegenin op principe. Vraag in plaats daarvan: wanneer is die gedeelde service voor het laatst gewijzigd, en hoeveel afstemming kostte dat? Het antwoord maakt het punt beter dan u kunt.</w:t>
      </w:r>
    </w:p>
    <w:p>
      <w:pPr>
        <w:spacing w:after="160" w:line="276"/>
      </w:pPr>
      <w:r>
        <w:rPr>
          <w:b/>
          <w:bCs/>
          <w:color w:val="1F2937"/>
          <w:sz w:val="22"/>
          <w:szCs w:val="22"/>
        </w:rPr>
        <w:t xml:space="preserve">De DRY-discussie loopt uit de hand.</w:t>
      </w:r>
      <w:r>
        <w:rPr>
          <w:color w:val="1F2937"/>
          <w:sz w:val="22"/>
          <w:szCs w:val="22"/>
        </w:rPr>
        <w:t xml:space="preserve"> Zet hem om in een concrete vraag: neem geval 2 uit opdracht 3.5 (ingangsdatum bij scheiding en bij nabestaandendekking, vandaag identiek). Vraag: wat gebeurt er als het reglement pensioenverevening wijzigt en het pensioenreglement niet? De meeste tegenstanders draaien hier bij.</w:t>
      </w:r>
    </w:p>
    <w:p>
      <w:pPr>
        <w:spacing w:after="160" w:line="276"/>
      </w:pPr>
      <w:r>
        <w:rPr>
          <w:b/>
          <w:bCs/>
          <w:color w:val="1F2937"/>
          <w:sz w:val="22"/>
          <w:szCs w:val="22"/>
        </w:rPr>
        <w:t xml:space="preserve">Een deelnemer stelt dat je koppeling gewoon kunt meten.</w:t>
      </w:r>
      <w:r>
        <w:rPr>
          <w:color w:val="1F2937"/>
          <w:sz w:val="22"/>
          <w:szCs w:val="22"/>
        </w:rPr>
        <w:t xml:space="preserve"> Klopt gedeeltelijk, en het is een goede aanleiding om de vervolgvraag van opdracht 3.1 te herhalen: vier van de acht koppelingen staan in geen enkel gegenereerd overzicht. Metingen zijn nuttig als indicator en gevaarlijk als geruststelling.</w:t>
      </w:r>
    </w:p>
    <w:p>
      <w:pPr>
        <w:spacing w:after="160" w:line="276"/>
      </w:pPr>
      <w:r>
        <w:rPr>
          <w:b/>
          <w:bCs/>
          <w:color w:val="1F2937"/>
          <w:sz w:val="22"/>
          <w:szCs w:val="22"/>
        </w:rPr>
        <w:t xml:space="preserve">De groep wil vooruit naar microservices.</w:t>
      </w:r>
      <w:r>
        <w:rPr>
          <w:color w:val="1F2937"/>
          <w:sz w:val="22"/>
          <w:szCs w:val="22"/>
        </w:rPr>
        <w:t xml:space="preserve"> Komt bijna altijd, meestal rond opdracht 3.3. Parkeer consequent naar deel 5, met één toevoeging: de vraag "hoe delen we het systeem op" is niet dezelfde als "hoe deployen we het". Vandaag doen we de eerste; deel 5 doet de tweede. Dat onderscheid is precies wat in Mutatie 1.0 door elkaar liep.</w:t>
      </w:r>
    </w:p>
    <w:p>
      <w:pPr>
        <w:pStyle w:val="Heading1"/>
        <w:pBdr>
          <w:bottom w:val="single" w:color="E5E7EB" w:sz="6" w:space="6"/>
        </w:pBdr>
        <w:spacing w:after="180" w:before="380"/>
      </w:pPr>
      <w:r>
        <w:rPr>
          <w:b/>
          <w:bCs/>
          <w:color w:val="1F3A5F"/>
          <w:sz w:val="30"/>
          <w:szCs w:val="30"/>
        </w:rPr>
        <w:t xml:space="preserve">5. Signalen om mee te nemen</w:t>
      </w:r>
    </w:p>
    <w:p>
      <w:pPr>
        <w:pStyle w:val="ListParagraph"/>
        <w:numPr>
          <w:ilvl w:val="0"/>
          <w:numId w:val="6"/>
        </w:numPr>
        <w:spacing w:after="120"/>
      </w:pPr>
      <w:r>
        <w:rPr>
          <w:color w:val="1F2937"/>
          <w:sz w:val="22"/>
          <w:szCs w:val="22"/>
        </w:rPr>
        <w:t xml:space="preserve">Wie splitst in opdracht 3.2 naar zeven componenten? Overcorrectie; let in deel 5 op dezelfde neiging (elke functie een eigen service).</w:t>
      </w:r>
    </w:p>
    <w:p>
      <w:pPr>
        <w:pStyle w:val="ListParagraph"/>
        <w:numPr>
          <w:ilvl w:val="0"/>
          <w:numId w:val="6"/>
        </w:numPr>
        <w:spacing w:after="120"/>
      </w:pPr>
      <w:r>
        <w:rPr>
          <w:color w:val="1F2937"/>
          <w:sz w:val="22"/>
          <w:szCs w:val="22"/>
        </w:rPr>
        <w:t xml:space="preserve">Wie kan in opdracht 3.7 geen wijziging noemen die duur wordt? Heeft niet gekozen maar overgenomen. Dit is de belangrijkste voorspeller van een zwakke capstone in deel 10.</w:t>
      </w:r>
    </w:p>
    <w:p>
      <w:pPr>
        <w:pStyle w:val="ListParagraph"/>
        <w:numPr>
          <w:ilvl w:val="0"/>
          <w:numId w:val="6"/>
        </w:numPr>
        <w:spacing w:after="120"/>
      </w:pPr>
      <w:r>
        <w:rPr>
          <w:color w:val="1F2937"/>
          <w:sz w:val="22"/>
          <w:szCs w:val="22"/>
        </w:rPr>
        <w:t xml:space="preserve">Wie verdedigt zijn indeling met een methodenaam in plaats van met een drijver? Zelfde patroon als B4. Benoem het individueel, niet klassikaal.</w:t>
      </w:r>
    </w:p>
    <w:p>
      <w:pPr>
        <w:pStyle w:val="Heading1"/>
        <w:pBdr>
          <w:bottom w:val="single" w:color="E5E7EB" w:sz="6" w:space="6"/>
        </w:pBdr>
        <w:spacing w:after="180" w:before="380"/>
      </w:pPr>
      <w:r>
        <w:rPr>
          <w:b/>
          <w:bCs/>
          <w:color w:val="1F3A5F"/>
          <w:sz w:val="30"/>
          <w:szCs w:val="30"/>
        </w:rPr>
        <w:t xml:space="preserve">6. Benodigdheden</w:t>
      </w:r>
    </w:p>
    <w:p>
      <w:pPr>
        <w:pStyle w:val="ListParagraph"/>
        <w:numPr>
          <w:ilvl w:val="0"/>
          <w:numId w:val="3"/>
        </w:numPr>
        <w:spacing w:after="100"/>
      </w:pPr>
      <w:r>
        <w:rPr>
          <w:color w:val="1F2937"/>
          <w:sz w:val="22"/>
          <w:szCs w:val="22"/>
        </w:rPr>
        <w:t xml:space="preserve">Slidedeck deel 3</w:t>
      </w:r>
    </w:p>
    <w:p>
      <w:pPr>
        <w:pStyle w:val="ListParagraph"/>
        <w:numPr>
          <w:ilvl w:val="0"/>
          <w:numId w:val="3"/>
        </w:numPr>
        <w:spacing w:after="100"/>
      </w:pPr>
      <w:r>
        <w:rPr>
          <w:color w:val="1F2937"/>
          <w:sz w:val="22"/>
          <w:szCs w:val="22"/>
        </w:rPr>
        <w:t xml:space="preserve">Reader en werkboek, per deelnemer</w:t>
      </w:r>
    </w:p>
    <w:p>
      <w:pPr>
        <w:pStyle w:val="ListParagraph"/>
        <w:numPr>
          <w:ilvl w:val="0"/>
          <w:numId w:val="3"/>
        </w:numPr>
        <w:spacing w:after="100"/>
      </w:pPr>
      <w:r>
        <w:rPr>
          <w:color w:val="1F2937"/>
          <w:sz w:val="22"/>
          <w:szCs w:val="22"/>
        </w:rPr>
        <w:t xml:space="preserve">Bijlage G: afhankelijkhedenoverzicht Mutatie 1.0, gegenereerd uit de codebase (elf services, afferent/efferent geteld)</w:t>
      </w:r>
    </w:p>
    <w:p>
      <w:pPr>
        <w:pStyle w:val="ListParagraph"/>
        <w:numPr>
          <w:ilvl w:val="0"/>
          <w:numId w:val="3"/>
        </w:numPr>
        <w:spacing w:after="100"/>
      </w:pPr>
      <w:r>
        <w:rPr>
          <w:color w:val="1F2937"/>
          <w:sz w:val="22"/>
          <w:szCs w:val="22"/>
        </w:rPr>
        <w:t xml:space="preserve">Bijlage H: wijzigingsdossier maand elf, inclusief de drie storingsmeldingen</w:t>
      </w:r>
    </w:p>
    <w:p>
      <w:pPr>
        <w:pStyle w:val="ListParagraph"/>
        <w:numPr>
          <w:ilvl w:val="0"/>
          <w:numId w:val="3"/>
        </w:numPr>
        <w:spacing w:after="100"/>
      </w:pPr>
      <w:r>
        <w:rPr>
          <w:color w:val="1F2937"/>
          <w:sz w:val="22"/>
          <w:szCs w:val="22"/>
        </w:rPr>
        <w:t xml:space="preserve">Bijlage I: begrippenlijstfragment met vier dubbelzinnig gebruikte begrippen</w:t>
      </w:r>
    </w:p>
    <w:p>
      <w:pPr>
        <w:pStyle w:val="ListParagraph"/>
        <w:numPr>
          <w:ilvl w:val="0"/>
          <w:numId w:val="3"/>
        </w:numPr>
        <w:spacing w:after="100"/>
      </w:pPr>
      <w:r>
        <w:rPr>
          <w:color w:val="1F2937"/>
          <w:sz w:val="22"/>
          <w:szCs w:val="22"/>
        </w:rPr>
        <w:t xml:space="preserve">Grote vellen (A1 of flip-over) plus stiften in twee kleuren voor opdracht 3.3 — het arceren in twee kleuren is functioneel, niet cosmetisch</w:t>
      </w:r>
    </w:p>
    <w:p>
      <w:pPr>
        <w:pStyle w:val="ListParagraph"/>
        <w:numPr>
          <w:ilvl w:val="0"/>
          <w:numId w:val="3"/>
        </w:numPr>
        <w:spacing w:after="100"/>
      </w:pPr>
      <w:r>
        <w:rPr>
          <w:color w:val="1F2937"/>
          <w:sz w:val="22"/>
          <w:szCs w:val="22"/>
        </w:rPr>
        <w:t xml:space="preserve">De kwaliteitsbomen uit deel 2 (gefotografeerd of op vel) — deelnemers hebben hun drijvers nodig</w:t>
      </w:r>
    </w:p>
    <w:p>
      <w:pPr>
        <w:pStyle w:val="ListParagraph"/>
        <w:numPr>
          <w:ilvl w:val="0"/>
          <w:numId w:val="3"/>
        </w:numPr>
        <w:spacing w:after="100"/>
      </w:pPr>
      <w:r>
        <w:rPr>
          <w:color w:val="1F2937"/>
          <w:sz w:val="22"/>
          <w:szCs w:val="22"/>
        </w:rPr>
        <w:t xml:space="preserve">Parkeerlijst uit deel 1 en 2</w:t>
      </w:r>
    </w:p>
    <w:p>
      <w:pPr>
        <w:pStyle w:val="Heading1"/>
        <w:pBdr>
          <w:bottom w:val="single" w:color="E5E7EB" w:sz="6" w:space="6"/>
        </w:pBdr>
        <w:spacing w:after="180" w:before="380"/>
      </w:pPr>
      <w:r>
        <w:rPr>
          <w:b/>
          <w:bCs/>
          <w:color w:val="1F3A5F"/>
          <w:sz w:val="30"/>
          <w:szCs w:val="30"/>
        </w:rPr>
        <w:t xml:space="preserve">7. Aansluiting op het volgende deel</w:t>
      </w:r>
    </w:p>
    <w:p>
      <w:pPr>
        <w:spacing w:after="160" w:line="276"/>
      </w:pPr>
      <w:r>
        <w:rPr>
          <w:color w:val="1F2937"/>
          <w:sz w:val="22"/>
          <w:szCs w:val="22"/>
        </w:rPr>
        <w:t xml:space="preserve">Deel 4 behandelt architectuurstijlen: gelaagd, hexagonaal, pipes &amp; filters. De brug: we hebben vandaag bepaald waarlangs we snijden en wat we verbergen. Dat waren onze eigen beslissingen, van geval tot geval. Er bestaan uitgewerkte antwoorden op deze vragen die zich in duizenden systemen hebben bewezen — die heten architectuurstijlen. Volgende keer kijken we naar drie ervan, en naar de vraag welke bij Mutatie 2.0 past.</w:t>
      </w:r>
    </w:p>
    <w:p>
      <w:pPr>
        <w:spacing w:after="160" w:line="276"/>
      </w:pPr>
      <w:r>
        <w:rPr>
          <w:color w:val="1F2937"/>
          <w:sz w:val="22"/>
          <w:szCs w:val="22"/>
        </w:rPr>
        <w:t xml:space="preserve">Waarschuw erbij: een stijl kiezen is niet hetzelfde als een probleem oplossen. Dat is de valkuil die in deel 5 tot bevinding B4 leidde.</w:t>
      </w:r>
    </w:p>
    <w:p>
      <w:pPr>
        <w:pBdr>
          <w:top w:val="single" w:color="E5E7EB" w:sz="4" w:space="8"/>
        </w:pBdr>
        <w:spacing w:before="400"/>
        <w:jc w:val="center"/>
      </w:pPr>
      <w:r>
        <w:rPr>
          <w:i/>
          <w:iCs/>
          <w:color w:val="6B7280"/>
          <w:sz w:val="17"/>
          <w:szCs w:val="17"/>
        </w:rPr>
        <w:t xml:space="preserve">Ductus B.V. · Cursus Softwarearchitectuur · Niveau 1, deel 3 · Docentenhandleiding</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1, deel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abstractNum w:abstractNumId="6"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2026-08-17T14:07:52.573Z</dcterms:created>
  <dcterms:modified xsi:type="dcterms:W3CDTF">2026-08-17T14:07:52.575Z</dcterms:modified>
</cp:coreProperties>
</file>

<file path=docProps/custom.xml><?xml version="1.0" encoding="utf-8"?>
<Properties xmlns="http://schemas.openxmlformats.org/officeDocument/2006/custom-properties" xmlns:vt="http://schemas.openxmlformats.org/officeDocument/2006/docPropsVTypes"/>
</file>