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3 — Ontwerpprincipes</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1 (CPSA-F) · Deel 3 van 10</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G: afhankelijkhedenoverzicht Mutatie 1.0 (elf services, gegenereerd uit de codebase, met afferente en efferente telling)</w:t>
      </w:r>
    </w:p>
    <w:p>
      <w:pPr>
        <w:pStyle w:val="ListParagraph"/>
        <w:numPr>
          <w:ilvl w:val="0"/>
          <w:numId w:val="2"/>
        </w:numPr>
        <w:spacing w:after="100"/>
      </w:pPr>
      <w:r>
        <w:rPr>
          <w:color w:val="1F2937"/>
          <w:sz w:val="22"/>
          <w:szCs w:val="22"/>
        </w:rPr>
        <w:t xml:space="preserve">Bijlage H: wijzigingsdossier maand elf (het buitenlandadres-verzoek, met de drie storingsmeldingen die erop volgden)</w:t>
      </w:r>
    </w:p>
    <w:p>
      <w:pPr>
        <w:pStyle w:val="ListParagraph"/>
        <w:numPr>
          <w:ilvl w:val="0"/>
          <w:numId w:val="2"/>
        </w:numPr>
        <w:spacing w:after="100"/>
      </w:pPr>
      <w:r>
        <w:rPr>
          <w:color w:val="1F2937"/>
          <w:sz w:val="22"/>
          <w:szCs w:val="22"/>
        </w:rPr>
        <w:t xml:space="preserve">Bijlage I: begrippenlijstfragment — vier begrippen die door twee teams verschillend werden gebruikt</w:t>
      </w:r>
    </w:p>
    <w:p>
      <w:pPr>
        <w:pStyle w:val="ListParagraph"/>
        <w:numPr>
          <w:ilvl w:val="0"/>
          <w:numId w:val="2"/>
        </w:numPr>
        <w:spacing w:after="100"/>
      </w:pPr>
      <w:r>
        <w:rPr>
          <w:color w:val="1F2937"/>
          <w:sz w:val="22"/>
          <w:szCs w:val="22"/>
        </w:rPr>
        <w:t xml:space="preserve">Uw vier architectuurdrijvers uit opdracht 2.7</w:t>
      </w:r>
    </w:p>
    <w:p>
      <w:pPr>
        <w:pStyle w:val="Heading1"/>
        <w:pBdr>
          <w:bottom w:val="single" w:color="E5E7EB" w:sz="6" w:space="6"/>
        </w:pBdr>
        <w:spacing w:after="180" w:before="380"/>
      </w:pPr>
      <w:r>
        <w:rPr>
          <w:b/>
          <w:bCs/>
          <w:color w:val="1F3A5F"/>
          <w:sz w:val="30"/>
          <w:szCs w:val="30"/>
        </w:rPr>
        <w:t xml:space="preserve">Opdracht 3.1 — Soorten koppeling herkennen (individueel, 15 minuten)</w:t>
      </w:r>
    </w:p>
    <w:p>
      <w:pPr>
        <w:spacing w:after="160" w:line="276"/>
      </w:pPr>
      <w:r>
        <w:rPr>
          <w:color w:val="1F2937"/>
          <w:sz w:val="22"/>
          <w:szCs w:val="22"/>
        </w:rPr>
        <w:t xml:space="preserve">Bepaal per situatie welke soort koppeling er speelt (data, stempel, besturing, gemeenschappelijk, inhoud, temporeel, semantisch) en of die schadelijk is. Motiveer in één zin.</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91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9138"/>
            <w:shd w:fill="1F3A5F" w:val="clear"/>
            <w:tcMar>
              <w:top w:type="dxa" w:w="100"/>
              <w:left w:type="dxa" w:w="120"/>
              <w:bottom w:type="dxa" w:w="100"/>
              <w:right w:type="dxa" w:w="120"/>
            </w:tcMar>
            <w:vAlign w:val="center"/>
          </w:tcPr>
          <w:p>
            <w:r>
              <w:rPr>
                <w:b/>
                <w:bCs/>
                <w:color w:val="FFFFFF"/>
                <w:sz w:val="19"/>
                <w:szCs w:val="19"/>
              </w:rPr>
              <w:t xml:space="preserve">Situatie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9138"/>
            <w:tcMar>
              <w:top w:type="dxa" w:w="100"/>
              <w:left w:type="dxa" w:w="120"/>
              <w:bottom w:type="dxa" w:w="100"/>
              <w:right w:type="dxa" w:w="120"/>
            </w:tcMar>
            <w:vAlign w:val="center"/>
          </w:tcPr>
          <w:p>
            <w:r>
              <w:rPr>
                <w:b w:val="false"/>
                <w:bCs w:val="false"/>
                <w:color w:val="1F2937"/>
                <w:sz w:val="19"/>
                <w:szCs w:val="19"/>
              </w:rPr>
              <w:t xml:space="preserve">De mutatieverwerking roept de adresvalidatie aan met postcode en huisnummer.</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9138"/>
            <w:tcMar>
              <w:top w:type="dxa" w:w="100"/>
              <w:left w:type="dxa" w:w="120"/>
              <w:bottom w:type="dxa" w:w="100"/>
              <w:right w:type="dxa" w:w="120"/>
            </w:tcMar>
            <w:vAlign w:val="center"/>
          </w:tcPr>
          <w:p>
            <w:r>
              <w:rPr>
                <w:b w:val="false"/>
                <w:bCs w:val="false"/>
                <w:color w:val="1F2937"/>
                <w:sz w:val="19"/>
                <w:szCs w:val="19"/>
              </w:rPr>
              <w:t xml:space="preserve">Het statusoverzicht leest een veld dat de adresvalidatie intern vult.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9138"/>
            <w:tcMar>
              <w:top w:type="dxa" w:w="100"/>
              <w:left w:type="dxa" w:w="120"/>
              <w:bottom w:type="dxa" w:w="100"/>
              <w:right w:type="dxa" w:w="120"/>
            </w:tcMar>
            <w:vAlign w:val="center"/>
          </w:tcPr>
          <w:p>
            <w:r>
              <w:rPr>
                <w:b w:val="false"/>
                <w:bCs w:val="false"/>
                <w:color w:val="1F2937"/>
                <w:sz w:val="19"/>
                <w:szCs w:val="19"/>
              </w:rPr>
              <w:t xml:space="preserve">De werkgeversbatch geeft het volledige deelnemersobject door aan de postcodecontrole, die alleen postcode en huisnummer gebruikt.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9138"/>
            <w:tcMar>
              <w:top w:type="dxa" w:w="100"/>
              <w:left w:type="dxa" w:w="120"/>
              <w:bottom w:type="dxa" w:w="100"/>
              <w:right w:type="dxa" w:w="120"/>
            </w:tcMar>
            <w:vAlign w:val="center"/>
          </w:tcPr>
          <w:p>
            <w:r>
              <w:rPr>
                <w:b w:val="false"/>
                <w:bCs w:val="false"/>
                <w:color w:val="1F2937"/>
                <w:sz w:val="19"/>
                <w:szCs w:val="19"/>
              </w:rPr>
              <w:t xml:space="preserve">De adresvalidatie wordt aangeroepen met een vlag strikt: true/false die bepaalt of ongeldige postcodes een fout of een waarschuwing opleveren.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9138"/>
            <w:tcMar>
              <w:top w:type="dxa" w:w="100"/>
              <w:left w:type="dxa" w:w="120"/>
              <w:bottom w:type="dxa" w:w="100"/>
              <w:right w:type="dxa" w:w="120"/>
            </w:tcMar>
            <w:vAlign w:val="center"/>
          </w:tcPr>
          <w:p>
            <w:r>
              <w:rPr>
                <w:b w:val="false"/>
                <w:bCs w:val="false"/>
                <w:color w:val="1F2937"/>
                <w:sz w:val="19"/>
                <w:szCs w:val="19"/>
              </w:rPr>
              <w:t xml:space="preserve">De nachtelijke export moet klaar zijn voordat de ochtendbatch start; dit staat nergens vastgelegd.</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9138"/>
            <w:tcMar>
              <w:top w:type="dxa" w:w="100"/>
              <w:left w:type="dxa" w:w="120"/>
              <w:bottom w:type="dxa" w:w="100"/>
              <w:right w:type="dxa" w:w="120"/>
            </w:tcMar>
            <w:vAlign w:val="center"/>
          </w:tcPr>
          <w:p>
            <w:r>
              <w:rPr>
                <w:b w:val="false"/>
                <w:bCs w:val="false"/>
                <w:color w:val="1F2937"/>
                <w:sz w:val="19"/>
                <w:szCs w:val="19"/>
              </w:rPr>
              <w:t xml:space="preserve">Mutatieverwerking en statusoverzicht nemen beide aan dat een lege einddatum "loopt nog" betekent.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9138"/>
            <w:tcMar>
              <w:top w:type="dxa" w:w="100"/>
              <w:left w:type="dxa" w:w="120"/>
              <w:bottom w:type="dxa" w:w="100"/>
              <w:right w:type="dxa" w:w="120"/>
            </w:tcMar>
            <w:vAlign w:val="center"/>
          </w:tcPr>
          <w:p>
            <w:r>
              <w:rPr>
                <w:b w:val="false"/>
                <w:bCs w:val="false"/>
                <w:color w:val="1F2937"/>
                <w:sz w:val="19"/>
                <w:szCs w:val="19"/>
              </w:rPr>
              <w:t xml:space="preserve">Zeven componenten lezen het foutgedrag uit dezelfde configuratietabel.</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9138"/>
            <w:tcMar>
              <w:top w:type="dxa" w:w="100"/>
              <w:left w:type="dxa" w:w="120"/>
              <w:bottom w:type="dxa" w:w="100"/>
              <w:right w:type="dxa" w:w="120"/>
            </w:tcMar>
            <w:vAlign w:val="center"/>
          </w:tcPr>
          <w:p>
            <w:r>
              <w:rPr>
                <w:b w:val="false"/>
                <w:bCs w:val="false"/>
                <w:color w:val="1F2937"/>
                <w:sz w:val="19"/>
                <w:szCs w:val="19"/>
              </w:rPr>
              <w:t xml:space="preserve">De overlijdensverwerking gebruikt de adresvalidatie om het correspondentieadres van de nabestaande vast te stellen.</w:t>
            </w:r>
          </w:p>
        </w:tc>
      </w:tr>
    </w:tbl>
    <w:p>
      <w:pPr>
        <w:spacing w:after="300"/>
      </w:pPr>
    </w:p>
    <w:p>
      <w:pPr>
        <w:spacing w:after="160" w:line="276"/>
      </w:pPr>
      <w:r>
        <w:rPr>
          <w:b/>
          <w:bCs/>
          <w:color w:val="1F2937"/>
          <w:sz w:val="22"/>
          <w:szCs w:val="22"/>
        </w:rPr>
        <w:t xml:space="preserve">Vervolgvraag.</w:t>
      </w:r>
      <w:r>
        <w:rPr>
          <w:color w:val="1F2937"/>
          <w:sz w:val="22"/>
          <w:szCs w:val="22"/>
        </w:rPr>
        <w:t xml:space="preserve"> Welke van deze acht zijn zichtbaar in bijlage G (het gegenereerde afhankelijkhedenoverzicht), en welke niet? Wat betekent dat voor uw vertrouwen in zulke overzichten?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3.1</w:t>
            </w:r>
          </w:p>
          <w:p>
            <w:pPr>
              <w:spacing w:after="80"/>
            </w:pP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2400"/>
              <w:gridCol w:w="62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2400"/>
                  <w:shd w:fill="1F3A5F" w:val="clear"/>
                  <w:tcMar>
                    <w:top w:type="dxa" w:w="100"/>
                    <w:left w:type="dxa" w:w="120"/>
                    <w:bottom w:type="dxa" w:w="100"/>
                    <w:right w:type="dxa" w:w="120"/>
                  </w:tcMar>
                  <w:vAlign w:val="center"/>
                </w:tcPr>
                <w:p>
                  <w:r>
                    <w:rPr>
                      <w:b/>
                      <w:bCs/>
                      <w:color w:val="FFFFFF"/>
                      <w:sz w:val="19"/>
                      <w:szCs w:val="19"/>
                    </w:rPr>
                    <w:t xml:space="preserve">Soort</w:t>
                  </w:r>
                </w:p>
              </w:tc>
              <w:tc>
                <w:tcPr>
                  <w:tcW w:type="dxa" w:w="6238"/>
                  <w:shd w:fill="1F3A5F" w:val="clear"/>
                  <w:tcMar>
                    <w:top w:type="dxa" w:w="100"/>
                    <w:left w:type="dxa" w:w="120"/>
                    <w:bottom w:type="dxa" w:w="100"/>
                    <w:right w:type="dxa" w:w="120"/>
                  </w:tcMar>
                  <w:vAlign w:val="center"/>
                </w:tcPr>
                <w:p>
                  <w:r>
                    <w:rPr>
                      <w:b/>
                      <w:bCs/>
                      <w:color w:val="FFFFFF"/>
                      <w:sz w:val="19"/>
                      <w:szCs w:val="19"/>
                    </w:rPr>
                    <w:t xml:space="preserve">Schadelijk?</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2400"/>
                  <w:tcMar>
                    <w:top w:type="dxa" w:w="100"/>
                    <w:left w:type="dxa" w:w="120"/>
                    <w:bottom w:type="dxa" w:w="100"/>
                    <w:right w:type="dxa" w:w="120"/>
                  </w:tcMar>
                  <w:vAlign w:val="center"/>
                </w:tcPr>
                <w:p>
                  <w:r>
                    <w:rPr>
                      <w:b w:val="false"/>
                      <w:bCs w:val="false"/>
                      <w:color w:val="1F2937"/>
                      <w:sz w:val="19"/>
                      <w:szCs w:val="19"/>
                    </w:rPr>
                    <w:t xml:space="preserve">Data</w:t>
                  </w:r>
                </w:p>
              </w:tc>
              <w:tc>
                <w:tcPr>
                  <w:tcW w:type="dxa" w:w="6238"/>
                  <w:tcMar>
                    <w:top w:type="dxa" w:w="100"/>
                    <w:left w:type="dxa" w:w="120"/>
                    <w:bottom w:type="dxa" w:w="100"/>
                    <w:right w:type="dxa" w:w="120"/>
                  </w:tcMar>
                  <w:vAlign w:val="center"/>
                </w:tcPr>
                <w:p>
                  <w:r>
                    <w:rPr>
                      <w:b w:val="false"/>
                      <w:bCs w:val="false"/>
                      <w:color w:val="1F2937"/>
                      <w:sz w:val="19"/>
                      <w:szCs w:val="19"/>
                    </w:rPr>
                    <w:t xml:space="preserve">Nee. Dit is de gewenste vorm: minimale gegevens, expliciet doorgegeven.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2400"/>
                  <w:tcMar>
                    <w:top w:type="dxa" w:w="100"/>
                    <w:left w:type="dxa" w:w="120"/>
                    <w:bottom w:type="dxa" w:w="100"/>
                    <w:right w:type="dxa" w:w="120"/>
                  </w:tcMar>
                  <w:vAlign w:val="center"/>
                </w:tcPr>
                <w:p>
                  <w:r>
                    <w:rPr>
                      <w:b w:val="false"/>
                      <w:bCs w:val="false"/>
                      <w:color w:val="1F2937"/>
                      <w:sz w:val="19"/>
                      <w:szCs w:val="19"/>
                    </w:rPr>
                    <w:t xml:space="preserve">Inhoud</w:t>
                  </w:r>
                </w:p>
              </w:tc>
              <w:tc>
                <w:tcPr>
                  <w:tcW w:type="dxa" w:w="6238"/>
                  <w:tcMar>
                    <w:top w:type="dxa" w:w="100"/>
                    <w:left w:type="dxa" w:w="120"/>
                    <w:bottom w:type="dxa" w:w="100"/>
                    <w:right w:type="dxa" w:w="120"/>
                  </w:tcMar>
                  <w:vAlign w:val="center"/>
                </w:tcPr>
                <w:p>
                  <w:r>
                    <w:rPr>
                      <w:b w:val="false"/>
                      <w:bCs w:val="false"/>
                      <w:color w:val="1F2937"/>
                      <w:sz w:val="19"/>
                      <w:szCs w:val="19"/>
                    </w:rPr>
                    <w:t xml:space="preserve">Ja, ernstig. De validatie kan niets aan haar interne werking veranderen zonder het statusoverzicht te breken, en niemand die de validatie wijzigt, ziet die afhankelijkheid.</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2400"/>
                  <w:tcMar>
                    <w:top w:type="dxa" w:w="100"/>
                    <w:left w:type="dxa" w:w="120"/>
                    <w:bottom w:type="dxa" w:w="100"/>
                    <w:right w:type="dxa" w:w="120"/>
                  </w:tcMar>
                  <w:vAlign w:val="center"/>
                </w:tcPr>
                <w:p>
                  <w:r>
                    <w:rPr>
                      <w:b w:val="false"/>
                      <w:bCs w:val="false"/>
                      <w:color w:val="1F2937"/>
                      <w:sz w:val="19"/>
                      <w:szCs w:val="19"/>
                    </w:rPr>
                    <w:t xml:space="preserve">Stempel</w:t>
                  </w:r>
                </w:p>
              </w:tc>
              <w:tc>
                <w:tcPr>
                  <w:tcW w:type="dxa" w:w="6238"/>
                  <w:tcMar>
                    <w:top w:type="dxa" w:w="100"/>
                    <w:left w:type="dxa" w:w="120"/>
                    <w:bottom w:type="dxa" w:w="100"/>
                    <w:right w:type="dxa" w:w="120"/>
                  </w:tcMar>
                  <w:vAlign w:val="center"/>
                </w:tcPr>
                <w:p>
                  <w:r>
                    <w:rPr>
                      <w:b w:val="false"/>
                      <w:bCs w:val="false"/>
                      <w:color w:val="1F2937"/>
                      <w:sz w:val="19"/>
                      <w:szCs w:val="19"/>
                    </w:rPr>
                    <w:t xml:space="preserve">Matig. Werkt, maar de postcodecontrole is nu gebonden aan de structuur van het deelnemersobject; een wijziging daarin raakt haar zonder reden. Ook een privacypunt: de controle krijgt gegevens die zij niet nodig heeft.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2400"/>
                  <w:tcMar>
                    <w:top w:type="dxa" w:w="100"/>
                    <w:left w:type="dxa" w:w="120"/>
                    <w:bottom w:type="dxa" w:w="100"/>
                    <w:right w:type="dxa" w:w="120"/>
                  </w:tcMar>
                  <w:vAlign w:val="center"/>
                </w:tcPr>
                <w:p>
                  <w:r>
                    <w:rPr>
                      <w:b w:val="false"/>
                      <w:bCs w:val="false"/>
                      <w:color w:val="1F2937"/>
                      <w:sz w:val="19"/>
                      <w:szCs w:val="19"/>
                    </w:rPr>
                    <w:t xml:space="preserve">Besturing</w:t>
                  </w:r>
                </w:p>
              </w:tc>
              <w:tc>
                <w:tcPr>
                  <w:tcW w:type="dxa" w:w="6238"/>
                  <w:tcMar>
                    <w:top w:type="dxa" w:w="100"/>
                    <w:left w:type="dxa" w:w="120"/>
                    <w:bottom w:type="dxa" w:w="100"/>
                    <w:right w:type="dxa" w:w="120"/>
                  </w:tcMar>
                  <w:vAlign w:val="center"/>
                </w:tcPr>
                <w:p>
                  <w:r>
                    <w:rPr>
                      <w:b w:val="false"/>
                      <w:bCs w:val="false"/>
                      <w:color w:val="1F2937"/>
                      <w:sz w:val="19"/>
                      <w:szCs w:val="19"/>
                    </w:rPr>
                    <w:t xml:space="preserve">Ja. De aanroeper stuurt het gedrag van de aangeroepene, wat betekent dat de validatie twee gedragingen kent die beide onderhouden moeten worden en die aanroepers moeten begrijpen. Vaak een teken dat er twee componenten in één zitten.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2400"/>
                  <w:tcMar>
                    <w:top w:type="dxa" w:w="100"/>
                    <w:left w:type="dxa" w:w="120"/>
                    <w:bottom w:type="dxa" w:w="100"/>
                    <w:right w:type="dxa" w:w="120"/>
                  </w:tcMar>
                  <w:vAlign w:val="center"/>
                </w:tcPr>
                <w:p>
                  <w:r>
                    <w:rPr>
                      <w:b w:val="false"/>
                      <w:bCs w:val="false"/>
                      <w:color w:val="1F2937"/>
                      <w:sz w:val="19"/>
                      <w:szCs w:val="19"/>
                    </w:rPr>
                    <w:t xml:space="preserve">Temporeel</w:t>
                  </w:r>
                </w:p>
              </w:tc>
              <w:tc>
                <w:tcPr>
                  <w:tcW w:type="dxa" w:w="6238"/>
                  <w:tcMar>
                    <w:top w:type="dxa" w:w="100"/>
                    <w:left w:type="dxa" w:w="120"/>
                    <w:bottom w:type="dxa" w:w="100"/>
                    <w:right w:type="dxa" w:w="120"/>
                  </w:tcMar>
                  <w:vAlign w:val="center"/>
                </w:tcPr>
                <w:p>
                  <w:r>
                    <w:rPr>
                      <w:b w:val="false"/>
                      <w:bCs w:val="false"/>
                      <w:color w:val="1F2937"/>
                      <w:sz w:val="19"/>
                      <w:szCs w:val="19"/>
                    </w:rPr>
                    <w:t xml:space="preserve">Ja, en verraderlijk. Nergens vastgelegd, dus onzichtbaar tot het volume groeit. Precies wat gebeurde.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2400"/>
                  <w:tcMar>
                    <w:top w:type="dxa" w:w="100"/>
                    <w:left w:type="dxa" w:w="120"/>
                    <w:bottom w:type="dxa" w:w="100"/>
                    <w:right w:type="dxa" w:w="120"/>
                  </w:tcMar>
                  <w:vAlign w:val="center"/>
                </w:tcPr>
                <w:p>
                  <w:r>
                    <w:rPr>
                      <w:b w:val="false"/>
                      <w:bCs w:val="false"/>
                      <w:color w:val="1F2937"/>
                      <w:sz w:val="19"/>
                      <w:szCs w:val="19"/>
                    </w:rPr>
                    <w:t xml:space="preserve">Semantisch</w:t>
                  </w:r>
                </w:p>
              </w:tc>
              <w:tc>
                <w:tcPr>
                  <w:tcW w:type="dxa" w:w="6238"/>
                  <w:tcMar>
                    <w:top w:type="dxa" w:w="100"/>
                    <w:left w:type="dxa" w:w="120"/>
                    <w:bottom w:type="dxa" w:w="100"/>
                    <w:right w:type="dxa" w:w="120"/>
                  </w:tcMar>
                  <w:vAlign w:val="center"/>
                </w:tcPr>
                <w:p>
                  <w:r>
                    <w:rPr>
                      <w:b w:val="false"/>
                      <w:bCs w:val="false"/>
                      <w:color w:val="1F2937"/>
                      <w:sz w:val="19"/>
                      <w:szCs w:val="19"/>
                    </w:rPr>
                    <w:t xml:space="preserve">Ja, en het moeilijkst te bestrijden. Alleen met een begrippenlijst en expliciete afspraken.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2400"/>
                  <w:tcMar>
                    <w:top w:type="dxa" w:w="100"/>
                    <w:left w:type="dxa" w:w="120"/>
                    <w:bottom w:type="dxa" w:w="100"/>
                    <w:right w:type="dxa" w:w="120"/>
                  </w:tcMar>
                  <w:vAlign w:val="center"/>
                </w:tcPr>
                <w:p>
                  <w:r>
                    <w:rPr>
                      <w:b w:val="false"/>
                      <w:bCs w:val="false"/>
                      <w:color w:val="1F2937"/>
                      <w:sz w:val="19"/>
                      <w:szCs w:val="19"/>
                    </w:rPr>
                    <w:t xml:space="preserve">Gemeenschappelijk</w:t>
                  </w:r>
                </w:p>
              </w:tc>
              <w:tc>
                <w:tcPr>
                  <w:tcW w:type="dxa" w:w="6238"/>
                  <w:tcMar>
                    <w:top w:type="dxa" w:w="100"/>
                    <w:left w:type="dxa" w:w="120"/>
                    <w:bottom w:type="dxa" w:w="100"/>
                    <w:right w:type="dxa" w:w="120"/>
                  </w:tcMar>
                  <w:vAlign w:val="center"/>
                </w:tcPr>
                <w:p>
                  <w:r>
                    <w:rPr>
                      <w:b w:val="false"/>
                      <w:bCs w:val="false"/>
                      <w:color w:val="1F2937"/>
                      <w:sz w:val="19"/>
                      <w:szCs w:val="19"/>
                    </w:rPr>
                    <w:t xml:space="preserve">Ja. Eén tabelwijziging verandert het gedrag van zeven componenten tegelijk — dit is de directe oorzaak van de gebroken werkgeversbatch in maand elf.</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2400"/>
                  <w:tcMar>
                    <w:top w:type="dxa" w:w="100"/>
                    <w:left w:type="dxa" w:w="120"/>
                    <w:bottom w:type="dxa" w:w="100"/>
                    <w:right w:type="dxa" w:w="120"/>
                  </w:tcMar>
                  <w:vAlign w:val="center"/>
                </w:tcPr>
                <w:p>
                  <w:r>
                    <w:rPr>
                      <w:b w:val="false"/>
                      <w:bCs w:val="false"/>
                      <w:color w:val="1F2937"/>
                      <w:sz w:val="19"/>
                      <w:szCs w:val="19"/>
                    </w:rPr>
                    <w:t xml:space="preserve">Data of afferent hergebruik</w:t>
                  </w:r>
                </w:p>
              </w:tc>
              <w:tc>
                <w:tcPr>
                  <w:tcW w:type="dxa" w:w="6238"/>
                  <w:tcMar>
                    <w:top w:type="dxa" w:w="100"/>
                    <w:left w:type="dxa" w:w="120"/>
                    <w:bottom w:type="dxa" w:w="100"/>
                    <w:right w:type="dxa" w:w="120"/>
                  </w:tcMar>
                  <w:vAlign w:val="center"/>
                </w:tcPr>
                <w:p>
                  <w:r>
                    <w:rPr>
                      <w:b w:val="false"/>
                      <w:bCs w:val="false"/>
                      <w:color w:val="1F2937"/>
                      <w:sz w:val="19"/>
                      <w:szCs w:val="19"/>
                    </w:rPr>
                    <w:t xml:space="preserve">Op zichzelf niet schadelijk; schadelijk in combinatie. Het probleem is niet dat overlijdensverwerking de validatie gebruikt, maar dat zij daardoor meebeweegt met wijzigingen die voor adresmutaties bedoeld zijn.</w:t>
                  </w:r>
                </w:p>
              </w:tc>
            </w:tr>
          </w:tbl>
          <w:p>
            <w:pPr>
              <w:spacing w:after="100"/>
            </w:pPr>
          </w:p>
          <w:p>
            <w:pPr>
              <w:spacing w:after="120" w:line="276"/>
            </w:pPr>
            <w:r>
              <w:rPr>
                <w:b/>
                <w:bCs/>
                <w:color w:val="1F2937"/>
                <w:sz w:val="21"/>
                <w:szCs w:val="21"/>
              </w:rPr>
              <w:t xml:space="preserve">Vervolgvraag. </w:t>
            </w:r>
            <w:r>
              <w:rPr>
                <w:color w:val="1F2937"/>
                <w:sz w:val="21"/>
                <w:szCs w:val="21"/>
              </w:rPr>
              <w:t xml:space="preserve">In bijlage G zichtbaar: 1, 3, 4, 8 (echte aanroepen). Niet zichtbaar: 2 (leest een veld, roept niets aan), 5 (volgorde in de planning), 6 (gedeelde aanname, staat nergens), 7 (configuratie, geen code-afhankelijkheid).</w:t>
            </w:r>
          </w:p>
          <w:p>
            <w:pPr>
              <w:spacing w:after="120" w:line="276"/>
            </w:pPr>
            <w:r>
              <w:rPr>
                <w:b/>
                <w:bCs/>
                <w:color w:val="1F2937"/>
                <w:sz w:val="21"/>
                <w:szCs w:val="21"/>
              </w:rPr>
              <w:t xml:space="preserve">Het leerpunt: </w:t>
            </w:r>
            <w:r>
              <w:rPr>
                <w:color w:val="1F2937"/>
                <w:sz w:val="21"/>
                <w:szCs w:val="21"/>
              </w:rPr>
              <w:t xml:space="preserve">vier van de acht koppelingen — waaronder de drie die maand elf veroorzaakten — staan niet in een gegenereerd afhankelijkhedenoverzicht. Zulke overzichten zijn nuttig en geven vals vertrouwen. Wat u niet ziet is doorgaans erger dan wat u ziet, juist omdat het niet gezien wordt.</w:t>
            </w:r>
          </w:p>
        </w:tc>
      </w:tr>
    </w:tbl>
    <w:p>
      <w:pPr>
        <w:spacing w:after="300"/>
      </w:pPr>
    </w:p>
    <w:p>
      <w:pPr>
        <w:pStyle w:val="Heading1"/>
        <w:pBdr>
          <w:bottom w:val="single" w:color="E5E7EB" w:sz="6" w:space="6"/>
        </w:pBdr>
        <w:spacing w:after="180" w:before="380"/>
      </w:pPr>
      <w:r>
        <w:rPr>
          <w:b/>
          <w:bCs/>
          <w:color w:val="1F3A5F"/>
          <w:sz w:val="30"/>
          <w:szCs w:val="30"/>
        </w:rPr>
        <w:t xml:space="preserve">Opdracht 3.2 — De verkeerde abstractie ontrafelen (duo's, 30 minuten)</w:t>
      </w:r>
    </w:p>
    <w:p>
      <w:pPr>
        <w:spacing w:after="160" w:line="276"/>
      </w:pPr>
      <w:r>
        <w:rPr>
          <w:color w:val="1F2937"/>
          <w:sz w:val="22"/>
          <w:szCs w:val="22"/>
        </w:rPr>
        <w:t xml:space="preserve">Bijlage H bevat het wijzigingsdossier van maand elf. De adresvalidatie werd door zeven componenten gebruikt.</w:t>
      </w:r>
    </w:p>
    <w:p>
      <w:pPr>
        <w:pStyle w:val="ListParagraph"/>
        <w:numPr>
          <w:ilvl w:val="0"/>
          <w:numId w:val="2"/>
        </w:numPr>
        <w:spacing w:after="100"/>
      </w:pPr>
      <w:r>
        <w:rPr>
          <w:b/>
          <w:bCs/>
          <w:color w:val="1F2937"/>
          <w:sz w:val="22"/>
          <w:szCs w:val="22"/>
        </w:rPr>
        <w:t xml:space="preserve">a)</w:t>
      </w:r>
      <w:r>
        <w:rPr>
          <w:color w:val="1F2937"/>
          <w:sz w:val="22"/>
          <w:szCs w:val="22"/>
        </w:rPr>
        <w:t xml:space="preserve"> Zet in een tabel wat elk van de zeven gebruikers werkelijk van de validatie nodig heeft. Gebruik bijlage H; waar het dossier geen uitsluitsel geeft, noteer dat als open vraag.</w:t>
      </w:r>
    </w:p>
    <w:p>
      <w:pPr>
        <w:pStyle w:val="ListParagraph"/>
        <w:numPr>
          <w:ilvl w:val="0"/>
          <w:numId w:val="2"/>
        </w:numPr>
        <w:spacing w:after="100"/>
      </w:pPr>
      <w:r>
        <w:rPr>
          <w:b/>
          <w:bCs/>
          <w:color w:val="1F2937"/>
          <w:sz w:val="22"/>
          <w:szCs w:val="22"/>
        </w:rPr>
        <w:t xml:space="preserve">b)</w:t>
      </w:r>
      <w:r>
        <w:rPr>
          <w:color w:val="1F2937"/>
          <w:sz w:val="22"/>
          <w:szCs w:val="22"/>
        </w:rPr>
        <w:t xml:space="preserve"> Groepeer de zeven gebruikers naar reden van verandering: welke gebruikers zouden om dezelfde reden een wijziging in de validatie aanvragen? Hoeveel groepen houdt u over?</w:t>
      </w:r>
    </w:p>
    <w:p>
      <w:pPr>
        <w:pStyle w:val="ListParagraph"/>
        <w:numPr>
          <w:ilvl w:val="0"/>
          <w:numId w:val="2"/>
        </w:numPr>
        <w:spacing w:after="100"/>
      </w:pPr>
      <w:r>
        <w:rPr>
          <w:b/>
          <w:bCs/>
          <w:color w:val="1F2937"/>
          <w:sz w:val="22"/>
          <w:szCs w:val="22"/>
        </w:rPr>
        <w:t xml:space="preserve">c)</w:t>
      </w:r>
      <w:r>
        <w:rPr>
          <w:color w:val="1F2937"/>
          <w:sz w:val="22"/>
          <w:szCs w:val="22"/>
        </w:rPr>
        <w:t xml:space="preserve"> Stel een nieuwe indeling voor. Hoeveel componenten worden het, wat verbergt elk ervan, en wat wordt er gedupliceerd?</w:t>
      </w:r>
    </w:p>
    <w:p>
      <w:pPr>
        <w:pStyle w:val="ListParagraph"/>
        <w:numPr>
          <w:ilvl w:val="0"/>
          <w:numId w:val="2"/>
        </w:numPr>
        <w:spacing w:after="100"/>
      </w:pPr>
      <w:r>
        <w:rPr>
          <w:b/>
          <w:bCs/>
          <w:color w:val="1F2937"/>
          <w:sz w:val="22"/>
          <w:szCs w:val="22"/>
        </w:rPr>
        <w:t xml:space="preserve">d)</w:t>
      </w:r>
      <w:r>
        <w:rPr>
          <w:color w:val="1F2937"/>
          <w:sz w:val="22"/>
          <w:szCs w:val="22"/>
        </w:rPr>
        <w:t xml:space="preserve"> Beantwoord expliciet: wat kost uw voorstel? Benoem de duplicatie die u accepteert en de reden waarom die goedkoper is dan de huidige situatie.</w:t>
      </w:r>
    </w:p>
    <w:p>
      <w:pPr>
        <w:spacing w:after="160" w:line="276"/>
      </w:pPr>
      <w:r>
        <w:rPr>
          <w:color w:val="1F2937"/>
          <w:sz w:val="22"/>
          <w:szCs w:val="22"/>
        </w:rPr>
        <w:t xml:space="preserve">Onderdeel d) is de kern van de opdracht. Een voorstel zonder benoemde prijs is geen ontwerp maar een wens.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3.2</w:t>
            </w:r>
          </w:p>
          <w:p>
            <w:pPr>
              <w:spacing w:after="80"/>
            </w:pPr>
          </w:p>
          <w:p>
            <w:pPr>
              <w:spacing w:after="120" w:line="276"/>
            </w:pPr>
            <w:r>
              <w:rPr>
                <w:b/>
                <w:bCs/>
                <w:color w:val="1F2937"/>
                <w:sz w:val="21"/>
                <w:szCs w:val="21"/>
              </w:rPr>
              <w:t xml:space="preserve">a) De zeven gebruikers</w:t>
            </w:r>
            <w:r>
              <w:rPr>
                <w:color w:val="1F2937"/>
                <w:sz w:val="21"/>
                <w:szCs w:val="21"/>
              </w:rPr>
              <w:t xml:space="preserve"> (uit bijlage H), met wat zij werkelijk nodig hebben:</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600"/>
              <w:gridCol w:w="6538"/>
            </w:tblGrid>
            <w:tr>
              <w:trPr>
                <w:tblHeader/>
              </w:trPr>
              <w:tc>
                <w:tcPr>
                  <w:tcW w:type="dxa" w:w="2600"/>
                  <w:shd w:fill="1F3A5F" w:val="clear"/>
                  <w:tcMar>
                    <w:top w:type="dxa" w:w="100"/>
                    <w:left w:type="dxa" w:w="120"/>
                    <w:bottom w:type="dxa" w:w="100"/>
                    <w:right w:type="dxa" w:w="120"/>
                  </w:tcMar>
                  <w:vAlign w:val="center"/>
                </w:tcPr>
                <w:p>
                  <w:r>
                    <w:rPr>
                      <w:b/>
                      <w:bCs/>
                      <w:color w:val="FFFFFF"/>
                      <w:sz w:val="19"/>
                      <w:szCs w:val="19"/>
                    </w:rPr>
                    <w:t xml:space="preserve">Gebruiker</w:t>
                  </w:r>
                </w:p>
              </w:tc>
              <w:tc>
                <w:tcPr>
                  <w:tcW w:type="dxa" w:w="6538"/>
                  <w:shd w:fill="1F3A5F" w:val="clear"/>
                  <w:tcMar>
                    <w:top w:type="dxa" w:w="100"/>
                    <w:left w:type="dxa" w:w="120"/>
                    <w:bottom w:type="dxa" w:w="100"/>
                    <w:right w:type="dxa" w:w="120"/>
                  </w:tcMar>
                  <w:vAlign w:val="center"/>
                </w:tcPr>
                <w:p>
                  <w:r>
                    <w:rPr>
                      <w:b/>
                      <w:bCs/>
                      <w:color w:val="FFFFFF"/>
                      <w:sz w:val="19"/>
                      <w:szCs w:val="19"/>
                    </w:rPr>
                    <w:t xml:space="preserve">Werkelijke behoefte</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Adresmutatie deelnemer</w:t>
                  </w:r>
                </w:p>
              </w:tc>
              <w:tc>
                <w:tcPr>
                  <w:tcW w:type="dxa" w:w="6538"/>
                  <w:tcMar>
                    <w:top w:type="dxa" w:w="100"/>
                    <w:left w:type="dxa" w:w="120"/>
                    <w:bottom w:type="dxa" w:w="100"/>
                    <w:right w:type="dxa" w:w="120"/>
                  </w:tcMar>
                  <w:vAlign w:val="center"/>
                </w:tcPr>
                <w:p>
                  <w:r>
                    <w:rPr>
                      <w:b w:val="false"/>
                      <w:bCs w:val="false"/>
                      <w:color w:val="1F2937"/>
                      <w:sz w:val="19"/>
                      <w:szCs w:val="19"/>
                    </w:rPr>
                    <w:t xml:space="preserve">Volledige controle, inclusief bestaanscontrole bij de postcodedienst; fout bij ongeldig</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Werkgeversbatch</w:t>
                  </w:r>
                </w:p>
              </w:tc>
              <w:tc>
                <w:tcPr>
                  <w:tcW w:type="dxa" w:w="6538"/>
                  <w:tcMar>
                    <w:top w:type="dxa" w:w="100"/>
                    <w:left w:type="dxa" w:w="120"/>
                    <w:bottom w:type="dxa" w:w="100"/>
                    <w:right w:type="dxa" w:w="120"/>
                  </w:tcMar>
                  <w:vAlign w:val="center"/>
                </w:tcPr>
                <w:p>
                  <w:r>
                    <w:rPr>
                      <w:b w:val="false"/>
                      <w:bCs w:val="false"/>
                      <w:color w:val="1F2937"/>
                      <w:sz w:val="19"/>
                      <w:szCs w:val="19"/>
                    </w:rPr>
                    <w:t xml:space="preserve">Formaatcontrole; ongeldige regel overslaan en rapporteren, niet de batch afbreken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Overlijdensverwerking</w:t>
                  </w:r>
                </w:p>
              </w:tc>
              <w:tc>
                <w:tcPr>
                  <w:tcW w:type="dxa" w:w="6538"/>
                  <w:tcMar>
                    <w:top w:type="dxa" w:w="100"/>
                    <w:left w:type="dxa" w:w="120"/>
                    <w:bottom w:type="dxa" w:w="100"/>
                    <w:right w:type="dxa" w:w="120"/>
                  </w:tcMar>
                  <w:vAlign w:val="center"/>
                </w:tcPr>
                <w:p>
                  <w:r>
                    <w:rPr>
                      <w:b w:val="false"/>
                      <w:bCs w:val="false"/>
                      <w:color w:val="1F2937"/>
                      <w:sz w:val="19"/>
                      <w:szCs w:val="19"/>
                    </w:rPr>
                    <w:t xml:space="preserve">Vaststellen correspondentieadres nabestaande; adres mag afwijkend zijn (bijv. zorginstelling)</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Waardeoverdracht</w:t>
                  </w:r>
                </w:p>
              </w:tc>
              <w:tc>
                <w:tcPr>
                  <w:tcW w:type="dxa" w:w="6538"/>
                  <w:tcMar>
                    <w:top w:type="dxa" w:w="100"/>
                    <w:left w:type="dxa" w:w="120"/>
                    <w:bottom w:type="dxa" w:w="100"/>
                    <w:right w:type="dxa" w:w="120"/>
                  </w:tcMar>
                  <w:vAlign w:val="center"/>
                </w:tcPr>
                <w:p>
                  <w:r>
                    <w:rPr>
                      <w:b w:val="false"/>
                      <w:bCs w:val="false"/>
                      <w:color w:val="1F2937"/>
                      <w:sz w:val="19"/>
                      <w:szCs w:val="19"/>
                    </w:rPr>
                    <w:t xml:space="preserve">Adres van de overdragende uitvoerder; buitenlandse adressen normaal</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Statusoverzicht</w:t>
                  </w:r>
                </w:p>
              </w:tc>
              <w:tc>
                <w:tcPr>
                  <w:tcW w:type="dxa" w:w="6538"/>
                  <w:tcMar>
                    <w:top w:type="dxa" w:w="100"/>
                    <w:left w:type="dxa" w:w="120"/>
                    <w:bottom w:type="dxa" w:w="100"/>
                    <w:right w:type="dxa" w:w="120"/>
                  </w:tcMar>
                  <w:vAlign w:val="center"/>
                </w:tcPr>
                <w:p>
                  <w:r>
                    <w:rPr>
                      <w:b w:val="false"/>
                      <w:bCs w:val="false"/>
                      <w:color w:val="1F2937"/>
                      <w:sz w:val="19"/>
                      <w:szCs w:val="19"/>
                    </w:rPr>
                    <w:t xml:space="preserve">Feitelijk niets — leest alleen een bijproduct (zie 3.1 geval 2)</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Correspondentie</w:t>
                  </w:r>
                </w:p>
              </w:tc>
              <w:tc>
                <w:tcPr>
                  <w:tcW w:type="dxa" w:w="6538"/>
                  <w:tcMar>
                    <w:top w:type="dxa" w:w="100"/>
                    <w:left w:type="dxa" w:w="120"/>
                    <w:bottom w:type="dxa" w:w="100"/>
                    <w:right w:type="dxa" w:w="120"/>
                  </w:tcMar>
                  <w:vAlign w:val="center"/>
                </w:tcPr>
                <w:p>
                  <w:r>
                    <w:rPr>
                      <w:b w:val="false"/>
                      <w:bCs w:val="false"/>
                      <w:color w:val="1F2937"/>
                      <w:sz w:val="19"/>
                      <w:szCs w:val="19"/>
                    </w:rPr>
                    <w:t xml:space="preserve">Postadres formatteren voor verzending, niet valideren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Migratie/conversie</w:t>
                  </w:r>
                </w:p>
              </w:tc>
              <w:tc>
                <w:tcPr>
                  <w:tcW w:type="dxa" w:w="6538"/>
                  <w:tcMar>
                    <w:top w:type="dxa" w:w="100"/>
                    <w:left w:type="dxa" w:w="120"/>
                    <w:bottom w:type="dxa" w:w="100"/>
                    <w:right w:type="dxa" w:w="120"/>
                  </w:tcMar>
                  <w:vAlign w:val="center"/>
                </w:tcPr>
                <w:p>
                  <w:r>
                    <w:rPr>
                      <w:b w:val="false"/>
                      <w:bCs w:val="false"/>
                      <w:color w:val="1F2937"/>
                      <w:sz w:val="19"/>
                      <w:szCs w:val="19"/>
                    </w:rPr>
                    <w:t xml:space="preserve">Massale controle op historische gegevens; tolerantie hoog, snelheid belangrijk</w:t>
                  </w:r>
                </w:p>
              </w:tc>
            </w:tr>
          </w:tbl>
          <w:p>
            <w:pPr>
              <w:spacing w:after="100"/>
            </w:pPr>
          </w:p>
          <w:p>
            <w:pPr>
              <w:spacing w:after="120" w:line="276"/>
            </w:pPr>
            <w:r>
              <w:rPr>
                <w:b/>
                <w:bCs/>
                <w:color w:val="1F2937"/>
                <w:sz w:val="21"/>
                <w:szCs w:val="21"/>
              </w:rPr>
              <w:t xml:space="preserve">b) Groepering naar reden van verandering.</w:t>
            </w:r>
            <w:r>
              <w:rPr>
                <w:color w:val="1F2937"/>
                <w:sz w:val="21"/>
                <w:szCs w:val="21"/>
              </w:rPr>
              <w:t xml:space="preserve"> Drie groepen, niet zeven:</w:t>
            </w:r>
          </w:p>
          <w:p>
            <w:pPr>
              <w:pStyle w:val="ListParagraph"/>
              <w:numPr>
                <w:ilvl w:val="0"/>
                <w:numId w:val="3"/>
              </w:numPr>
              <w:spacing w:after="120"/>
            </w:pPr>
            <w:r>
              <w:rPr>
                <w:color w:val="1F2937"/>
                <w:sz w:val="22"/>
                <w:szCs w:val="22"/>
              </w:rPr>
              <w:t xml:space="preserve">Interactieve invoercontrole (adresmutatie deelnemer) — verandert als het correspondentiebeleid of de gebruikerservaring wijzigt. Streng, direct terugkoppelend.</w:t>
            </w:r>
          </w:p>
          <w:p>
            <w:pPr>
              <w:pStyle w:val="ListParagraph"/>
              <w:numPr>
                <w:ilvl w:val="0"/>
                <w:numId w:val="3"/>
              </w:numPr>
              <w:spacing w:after="120"/>
            </w:pPr>
            <w:r>
              <w:rPr>
                <w:color w:val="1F2937"/>
                <w:sz w:val="22"/>
                <w:szCs w:val="22"/>
              </w:rPr>
              <w:t xml:space="preserve">Bulkcontrole (werkgeversbatch, migratie) — verandert als aanleverformaten of volumes wijzigen. Tolerant, rapporterend, snel.</w:t>
            </w:r>
          </w:p>
          <w:p>
            <w:pPr>
              <w:pStyle w:val="ListParagraph"/>
              <w:numPr>
                <w:ilvl w:val="0"/>
                <w:numId w:val="3"/>
              </w:numPr>
              <w:spacing w:after="120"/>
            </w:pPr>
            <w:r>
              <w:rPr>
                <w:color w:val="1F2937"/>
                <w:sz w:val="22"/>
                <w:szCs w:val="22"/>
              </w:rPr>
              <w:t xml:space="preserve">Adresvaststelling in het domein (overlijden, waardeoverdracht) — verandert als reglementen of juridische regels rond correspondentieadressen wijzigen. Dit is geen validatie maar domeinlogica die toevallig een adres beoordeelt.</w:t>
            </w:r>
          </w:p>
          <w:p>
            <w:pPr>
              <w:spacing w:after="120" w:line="276"/>
            </w:pPr>
            <w:r>
              <w:rPr>
                <w:color w:val="1F2937"/>
                <w:sz w:val="21"/>
                <w:szCs w:val="21"/>
              </w:rPr>
              <w:t xml:space="preserve">Correspondentie hoort in geen van drieën: dat is formatteren, geen valideren, en dat was al een fout in de oorspronkelijke opzet. Statusoverzicht hoort er evenmin bij: dat moet zijn eigen gegevens krijgen.</w:t>
            </w:r>
          </w:p>
          <w:p>
            <w:pPr>
              <w:spacing w:after="120" w:line="276"/>
            </w:pPr>
            <w:r>
              <w:rPr>
                <w:b/>
                <w:bCs/>
                <w:color w:val="1F2937"/>
                <w:sz w:val="21"/>
                <w:szCs w:val="21"/>
              </w:rPr>
              <w:t xml:space="preserve">c) Voorstel.</w:t>
            </w:r>
            <w:r>
              <w:rPr>
                <w:color w:val="1F2937"/>
                <w:sz w:val="21"/>
                <w:szCs w:val="21"/>
              </w:rPr>
              <w:t xml:space="preserve"> Drie componenten in plaats van één, plus twee correcties:</w:t>
            </w:r>
          </w:p>
          <w:p>
            <w:pPr>
              <w:pStyle w:val="ListParagraph"/>
              <w:numPr>
                <w:ilvl w:val="0"/>
                <w:numId w:val="2"/>
              </w:numPr>
              <w:spacing w:after="100"/>
            </w:pPr>
            <w:r>
              <w:rPr>
                <w:color w:val="1F2937"/>
                <w:sz w:val="22"/>
                <w:szCs w:val="22"/>
              </w:rPr>
              <w:t xml:space="preserve">een postcodeformaatcontrole als kleine, gedeelde, stabiele functie (echt DRY: dit verandert vrijwel nooit en betekent overal hetzelfde);</w:t>
            </w:r>
          </w:p>
          <w:p>
            <w:pPr>
              <w:pStyle w:val="ListParagraph"/>
              <w:numPr>
                <w:ilvl w:val="0"/>
                <w:numId w:val="2"/>
              </w:numPr>
              <w:spacing w:after="100"/>
            </w:pPr>
            <w:r>
              <w:rPr>
                <w:color w:val="1F2937"/>
                <w:sz w:val="22"/>
                <w:szCs w:val="22"/>
              </w:rPr>
              <w:t xml:space="preserve">een interactieve adrescontrole binnen de adresmutatiecomponent;</w:t>
            </w:r>
          </w:p>
          <w:p>
            <w:pPr>
              <w:pStyle w:val="ListParagraph"/>
              <w:numPr>
                <w:ilvl w:val="0"/>
                <w:numId w:val="2"/>
              </w:numPr>
              <w:spacing w:after="100"/>
            </w:pPr>
            <w:r>
              <w:rPr>
                <w:color w:val="1F2937"/>
                <w:sz w:val="22"/>
                <w:szCs w:val="22"/>
              </w:rPr>
              <w:t xml:space="preserve">een bulkadrescontrole binnen de aanleverkant;</w:t>
            </w:r>
          </w:p>
          <w:p>
            <w:pPr>
              <w:pStyle w:val="ListParagraph"/>
              <w:numPr>
                <w:ilvl w:val="0"/>
                <w:numId w:val="2"/>
              </w:numPr>
              <w:spacing w:after="100"/>
            </w:pPr>
            <w:r>
              <w:rPr>
                <w:color w:val="1F2937"/>
                <w:sz w:val="22"/>
                <w:szCs w:val="22"/>
              </w:rPr>
              <w:t xml:space="preserve">adresvaststelling bij overlijden en waardeoverdracht gaat naar de betreffende domeincomponenten;</w:t>
            </w:r>
          </w:p>
          <w:p>
            <w:pPr>
              <w:pStyle w:val="ListParagraph"/>
              <w:numPr>
                <w:ilvl w:val="0"/>
                <w:numId w:val="2"/>
              </w:numPr>
              <w:spacing w:after="100"/>
            </w:pPr>
            <w:r>
              <w:rPr>
                <w:color w:val="1F2937"/>
                <w:sz w:val="22"/>
                <w:szCs w:val="22"/>
              </w:rPr>
              <w:t xml:space="preserve">correspondentieformattering wordt een eigen ding en valideert niet.</w:t>
            </w:r>
          </w:p>
          <w:p>
            <w:pPr>
              <w:spacing w:after="120" w:line="276"/>
            </w:pPr>
            <w:r>
              <w:rPr>
                <w:b/>
                <w:bCs/>
                <w:color w:val="1F2937"/>
                <w:sz w:val="21"/>
                <w:szCs w:val="21"/>
              </w:rPr>
              <w:t xml:space="preserve">d) De prijs.</w:t>
            </w:r>
            <w:r>
              <w:rPr>
                <w:color w:val="1F2937"/>
                <w:sz w:val="21"/>
                <w:szCs w:val="21"/>
              </w:rPr>
              <w:t xml:space="preserve"> De aanroep naar de externe postcodedienst wordt op twee plaatsen geïmplementeerd (interactief en bulk), of — beter — via één geheime integratiecomponent ontsloten met twee verschillende gedragingen eromheen. De formaatregel 1234AB staat straks in één component en wordt door twee anderen gebruikt: dat is verantwoorde DRY. Wat we accepteren is dubbele aanroeplogica, wat we vermijden is dubbele kennis.</w:t>
            </w:r>
          </w:p>
          <w:p>
            <w:pPr>
              <w:spacing w:after="120" w:line="276"/>
            </w:pPr>
            <w:r>
              <w:rPr>
                <w:color w:val="1F2937"/>
                <w:sz w:val="21"/>
                <w:szCs w:val="21"/>
              </w:rPr>
              <w:t xml:space="preserve">Waarom is dat goedkoper? Omdat elke wijziging nu binnen één reden-van-verandering blijft. De buitenlandcontrole uit maand elf zou uitsluitend de interactieve adrescontrole hebben geraakt: één component, geen gevolgschade, naar schatting dagen in plaats van vijf weken.</w:t>
            </w:r>
          </w:p>
          <w:p>
            <w:pPr>
              <w:spacing w:after="120" w:line="276"/>
            </w:pPr>
            <w:r>
              <w:rPr>
                <w:b/>
                <w:bCs/>
                <w:color w:val="1F2937"/>
                <w:sz w:val="21"/>
                <w:szCs w:val="21"/>
              </w:rPr>
              <w:t xml:space="preserve">Veelgemaakte fout in deze opdracht: </w:t>
            </w:r>
            <w:r>
              <w:rPr>
                <w:color w:val="1F2937"/>
                <w:sz w:val="21"/>
                <w:szCs w:val="21"/>
              </w:rPr>
              <w:t xml:space="preserve">deelnemers splitsen naar de zeven gebruikers (zeven componenten). Dat is overcorrectie: de formaatregel wordt dan zeven keer geïmplementeerd, en die verandert wél om dezelfde reden voor iedereen. De vraag is niet "hoe scheid ik alles" maar "waar loopt de scheidslijn van reden-van-verandering".</w:t>
            </w:r>
          </w:p>
        </w:tc>
      </w:tr>
    </w:tbl>
    <w:p>
      <w:pPr>
        <w:spacing w:after="300"/>
      </w:pPr>
    </w:p>
    <w:p>
      <w:pPr>
        <w:pStyle w:val="Heading1"/>
        <w:pBdr>
          <w:bottom w:val="single" w:color="E5E7EB" w:sz="6" w:space="6"/>
        </w:pBdr>
        <w:spacing w:after="180" w:before="380"/>
      </w:pPr>
      <w:r>
        <w:rPr>
          <w:b/>
          <w:bCs/>
          <w:color w:val="1F3A5F"/>
          <w:sz w:val="30"/>
          <w:szCs w:val="30"/>
        </w:rPr>
        <w:t xml:space="preserve">Opdracht 3.3 — Waarlangs snijdt u? (groepen van vier, 40 minuten)</w:t>
      </w:r>
    </w:p>
    <w:p>
      <w:pPr>
        <w:spacing w:after="160" w:line="276"/>
      </w:pPr>
      <w:r>
        <w:rPr>
          <w:color w:val="1F2937"/>
          <w:sz w:val="22"/>
          <w:szCs w:val="22"/>
        </w:rPr>
        <w:t xml:space="preserve">U ontwerpt de hoofdindeling van Mutatie 2.0. Het systeem moet de volgende mutatiesoorten aan: adreswijziging, e-mailwijziging, scheiding, overlijden, waardeoverdracht, wijziging nabestaandendekking. Daarnaast: werkgeversbatchaanlevering, statusoverzicht voor deelnemer en behandelaar, en de koppeling met de kernadministratie.</w:t>
      </w:r>
    </w:p>
    <w:p>
      <w:pPr>
        <w:pStyle w:val="ListParagraph"/>
        <w:numPr>
          <w:ilvl w:val="0"/>
          <w:numId w:val="2"/>
        </w:numPr>
        <w:spacing w:after="100"/>
      </w:pPr>
      <w:r>
        <w:rPr>
          <w:b/>
          <w:bCs/>
          <w:color w:val="1F2937"/>
          <w:sz w:val="22"/>
          <w:szCs w:val="22"/>
        </w:rPr>
        <w:t xml:space="preserve">a)</w:t>
      </w:r>
      <w:r>
        <w:rPr>
          <w:color w:val="1F2937"/>
          <w:sz w:val="22"/>
          <w:szCs w:val="22"/>
        </w:rPr>
        <w:t xml:space="preserve"> Maak twee indelingen van hetzelfde systeem: één langs technische lagen (criterium 1), één langs het domein (criterium 2). Teken beide op één vel.</w:t>
      </w:r>
    </w:p>
    <w:p>
      <w:pPr>
        <w:pStyle w:val="ListParagraph"/>
        <w:numPr>
          <w:ilvl w:val="0"/>
          <w:numId w:val="2"/>
        </w:numPr>
        <w:spacing w:after="100"/>
      </w:pPr>
      <w:r>
        <w:rPr>
          <w:b/>
          <w:bCs/>
          <w:color w:val="1F2937"/>
          <w:sz w:val="22"/>
          <w:szCs w:val="22"/>
        </w:rPr>
        <w:t xml:space="preserve">b)</w:t>
      </w:r>
      <w:r>
        <w:rPr>
          <w:color w:val="1F2937"/>
          <w:sz w:val="22"/>
          <w:szCs w:val="22"/>
        </w:rPr>
        <w:t xml:space="preserve"> Neem de wijziging "voeg de mutatiesoort wijziging partnerpensioenkeuze toe" en arceer in beide tekeningen welke componenten geraakt worden. Tel ze.</w:t>
      </w:r>
    </w:p>
    <w:p>
      <w:pPr>
        <w:pStyle w:val="ListParagraph"/>
        <w:numPr>
          <w:ilvl w:val="0"/>
          <w:numId w:val="2"/>
        </w:numPr>
        <w:spacing w:after="100"/>
      </w:pPr>
      <w:r>
        <w:rPr>
          <w:b/>
          <w:bCs/>
          <w:color w:val="1F2937"/>
          <w:sz w:val="22"/>
          <w:szCs w:val="22"/>
        </w:rPr>
        <w:t xml:space="preserve">c)</w:t>
      </w:r>
      <w:r>
        <w:rPr>
          <w:color w:val="1F2937"/>
          <w:sz w:val="22"/>
          <w:szCs w:val="22"/>
        </w:rPr>
        <w:t xml:space="preserve"> Neem nu een tweede wijziging: "de kernadministratie wordt vervangen door een ander pakket". Arceer opnieuw in beide tekeningen. Tel opnieuw.</w:t>
      </w:r>
    </w:p>
    <w:p>
      <w:pPr>
        <w:pStyle w:val="ListParagraph"/>
        <w:numPr>
          <w:ilvl w:val="0"/>
          <w:numId w:val="2"/>
        </w:numPr>
        <w:spacing w:after="100"/>
      </w:pPr>
      <w:r>
        <w:rPr>
          <w:b/>
          <w:bCs/>
          <w:color w:val="1F2937"/>
          <w:sz w:val="22"/>
          <w:szCs w:val="22"/>
        </w:rPr>
        <w:t xml:space="preserve">d)</w:t>
      </w:r>
      <w:r>
        <w:rPr>
          <w:color w:val="1F2937"/>
          <w:sz w:val="22"/>
          <w:szCs w:val="22"/>
        </w:rPr>
        <w:t xml:space="preserve"> Neem een derde wijziging: "alle correspondentie moet voortaan ook in het Engels beschikbaar zijn". Arceer, tel.</w:t>
      </w:r>
    </w:p>
    <w:p>
      <w:pPr>
        <w:pStyle w:val="ListParagraph"/>
        <w:numPr>
          <w:ilvl w:val="0"/>
          <w:numId w:val="2"/>
        </w:numPr>
        <w:spacing w:after="100"/>
      </w:pPr>
      <w:r>
        <w:rPr>
          <w:b/>
          <w:bCs/>
          <w:color w:val="1F2937"/>
          <w:sz w:val="22"/>
          <w:szCs w:val="22"/>
        </w:rPr>
        <w:t xml:space="preserve">e)</w:t>
      </w:r>
      <w:r>
        <w:rPr>
          <w:color w:val="1F2937"/>
          <w:sz w:val="22"/>
          <w:szCs w:val="22"/>
        </w:rPr>
        <w:t xml:space="preserve"> Welke indeling wint? Formuleer uw antwoord expliciet als afweging tegen uw vier architectuurdrijvers uit opdracht 2.7, niet als algemene voorkeur.</w:t>
      </w:r>
    </w:p>
    <w:p>
      <w:pPr>
        <w:pStyle w:val="ListParagraph"/>
        <w:numPr>
          <w:ilvl w:val="0"/>
          <w:numId w:val="2"/>
        </w:numPr>
        <w:spacing w:after="100"/>
      </w:pPr>
      <w:r>
        <w:rPr>
          <w:b/>
          <w:bCs/>
          <w:color w:val="1F2937"/>
          <w:sz w:val="22"/>
          <w:szCs w:val="22"/>
        </w:rPr>
        <w:t xml:space="preserve">f)</w:t>
      </w:r>
      <w:r>
        <w:rPr>
          <w:color w:val="1F2937"/>
          <w:sz w:val="22"/>
          <w:szCs w:val="22"/>
        </w:rPr>
        <w:t xml:space="preserve"> Waar in uw winnende indeling speelt criterium 3 (verandersnelheid) alsnog een rol? Wijs minstens één component aan die op grond van verandersnelheid apart moet staan, ook al zou het domein anders suggereren.</w:t>
      </w:r>
    </w:p>
    <w:p>
      <w:pPr>
        <w:spacing w:after="160" w:line="276"/>
      </w:pPr>
      <w:r>
        <w:rPr>
          <w:color w:val="1F2937"/>
          <w:sz w:val="22"/>
          <w:szCs w:val="22"/>
        </w:rPr>
        <w:t xml:space="preserve">Presenteer c), e) en f) plenair.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3.3</w:t>
            </w:r>
          </w:p>
          <w:p>
            <w:pPr>
              <w:spacing w:after="80"/>
            </w:pPr>
          </w:p>
          <w:p>
            <w:pPr>
              <w:spacing w:after="120" w:line="276"/>
            </w:pPr>
            <w:r>
              <w:rPr>
                <w:b/>
                <w:bCs/>
                <w:color w:val="1F2937"/>
                <w:sz w:val="21"/>
                <w:szCs w:val="21"/>
              </w:rPr>
              <w:t xml:space="preserve">b) Nieuwe mutatiesoort toevoegen.</w:t>
            </w:r>
            <w:r>
              <w:rPr>
                <w:color w:val="1F2937"/>
                <w:sz w:val="21"/>
                <w:szCs w:val="21"/>
              </w:rPr>
              <w:t xml:space="preserve"/>
            </w:r>
          </w:p>
          <w:p>
            <w:pPr>
              <w:pStyle w:val="ListParagraph"/>
              <w:numPr>
                <w:ilvl w:val="0"/>
                <w:numId w:val="2"/>
              </w:numPr>
              <w:spacing w:after="100"/>
            </w:pPr>
            <w:r>
              <w:rPr>
                <w:color w:val="1F2937"/>
                <w:sz w:val="22"/>
                <w:szCs w:val="22"/>
              </w:rPr>
              <w:t xml:space="preserve">Technische lagen: alle lagen geraakt — presentatie, logica, gegevenstoegang, integratie. Vier of meer componenten, allemaal gedeeld met bestaande mutatiesoorten, dus met regressierisico op alles.</w:t>
            </w:r>
          </w:p>
          <w:p>
            <w:pPr>
              <w:pStyle w:val="ListParagraph"/>
              <w:numPr>
                <w:ilvl w:val="0"/>
                <w:numId w:val="2"/>
              </w:numPr>
              <w:spacing w:after="100"/>
            </w:pPr>
            <w:r>
              <w:rPr>
                <w:color w:val="1F2937"/>
                <w:sz w:val="22"/>
                <w:szCs w:val="22"/>
              </w:rPr>
              <w:t xml:space="preserve">Domeinindeling: één nieuw blok, plus registratie in een overzicht. Eén component, nieuw, dus geen regressierisico op bestaande soorten.</w:t>
            </w:r>
          </w:p>
          <w:p>
            <w:pPr>
              <w:spacing w:after="120" w:line="276"/>
            </w:pPr>
            <w:r>
              <w:rPr>
                <w:color w:val="1F2937"/>
                <w:sz w:val="21"/>
                <w:szCs w:val="21"/>
              </w:rPr>
              <w:t xml:space="preserve">QS-3 vraagt letterlijk "zonder wijziging in bestaande mutatiesoorten". Alleen de domeinindeling levert dat.</w:t>
            </w:r>
          </w:p>
          <w:p>
            <w:pPr>
              <w:spacing w:after="120" w:line="276"/>
            </w:pPr>
            <w:r>
              <w:rPr>
                <w:b/>
                <w:bCs/>
                <w:color w:val="1F2937"/>
                <w:sz w:val="21"/>
                <w:szCs w:val="21"/>
              </w:rPr>
              <w:t xml:space="preserve">c) Kernadministratie vervangen.</w:t>
            </w:r>
            <w:r>
              <w:rPr>
                <w:color w:val="1F2937"/>
                <w:sz w:val="21"/>
                <w:szCs w:val="21"/>
              </w:rPr>
              <w:t xml:space="preserve"/>
            </w:r>
          </w:p>
          <w:p>
            <w:pPr>
              <w:pStyle w:val="ListParagraph"/>
              <w:numPr>
                <w:ilvl w:val="0"/>
                <w:numId w:val="2"/>
              </w:numPr>
              <w:spacing w:after="100"/>
            </w:pPr>
            <w:r>
              <w:rPr>
                <w:color w:val="1F2937"/>
                <w:sz w:val="22"/>
                <w:szCs w:val="22"/>
              </w:rPr>
              <w:t xml:space="preserve">Technische lagen: als de gegevenstoegangslaag netjes is afgebakend, één laag. Dit is het geval waarin de technische indeling het goed doet.</w:t>
            </w:r>
          </w:p>
          <w:p>
            <w:pPr>
              <w:pStyle w:val="ListParagraph"/>
              <w:numPr>
                <w:ilvl w:val="0"/>
                <w:numId w:val="2"/>
              </w:numPr>
              <w:spacing w:after="100"/>
            </w:pPr>
            <w:r>
              <w:rPr>
                <w:color w:val="1F2937"/>
                <w:sz w:val="22"/>
                <w:szCs w:val="22"/>
              </w:rPr>
              <w:t xml:space="preserve">Domeinindeling: gevaarlijk — als elke mutatiesoort zijn eigen aanroep naar de kernadministratie doet, worden alle zes geraakt.</w:t>
            </w:r>
          </w:p>
          <w:p>
            <w:pPr>
              <w:spacing w:after="120" w:line="276"/>
            </w:pPr>
            <w:r>
              <w:rPr>
                <w:color w:val="1F2937"/>
                <w:sz w:val="21"/>
                <w:szCs w:val="21"/>
              </w:rPr>
              <w:t xml:space="preserve">Dit is de belangrijkste uitkomst van de opdracht: de domeinindeling wint niet vanzelf. Zij wint alleen als de integratie apart wordt gehouden. Dat is precies onderdeel f).</w:t>
            </w:r>
          </w:p>
          <w:p>
            <w:pPr>
              <w:spacing w:after="120" w:line="276"/>
            </w:pPr>
            <w:r>
              <w:rPr>
                <w:b/>
                <w:bCs/>
                <w:color w:val="1F2937"/>
                <w:sz w:val="21"/>
                <w:szCs w:val="21"/>
              </w:rPr>
              <w:t xml:space="preserve">d) Correspondentie ook in het Engels.</w:t>
            </w:r>
            <w:r>
              <w:rPr>
                <w:color w:val="1F2937"/>
                <w:sz w:val="21"/>
                <w:szCs w:val="21"/>
              </w:rPr>
              <w:t xml:space="preserve"/>
            </w:r>
          </w:p>
          <w:p>
            <w:pPr>
              <w:pStyle w:val="ListParagraph"/>
              <w:numPr>
                <w:ilvl w:val="0"/>
                <w:numId w:val="2"/>
              </w:numPr>
              <w:spacing w:after="100"/>
            </w:pPr>
            <w:r>
              <w:rPr>
                <w:color w:val="1F2937"/>
                <w:sz w:val="22"/>
                <w:szCs w:val="22"/>
              </w:rPr>
              <w:t xml:space="preserve">Beide indelingen presteren hier matig als correspondentie verspreid is. Wie een aparte correspondentiecomponent heeft (zie uitwerking 3.2), raakt er één.</w:t>
            </w:r>
          </w:p>
          <w:p>
            <w:pPr>
              <w:spacing w:after="120" w:line="276"/>
            </w:pPr>
            <w:r>
              <w:rPr>
                <w:color w:val="1F2937"/>
                <w:sz w:val="21"/>
                <w:szCs w:val="21"/>
              </w:rPr>
              <w:t xml:space="preserve">Deze derde wijziging is toegevoegd omdat zij noch langs de laag- noch langs de domein-as loopt. Zij is een cross-cutting concern, en dat is deel 8. Groepen die hier vastlopen, hebben het punt precies te pakken: geen enkele hoofdindeling vangt alle wijzigingen, en wat overblijft moet apart geregeld worden.</w:t>
            </w:r>
          </w:p>
          <w:p>
            <w:pPr>
              <w:spacing w:after="120" w:line="276"/>
            </w:pPr>
            <w:r>
              <w:rPr>
                <w:b/>
                <w:bCs/>
                <w:color w:val="1F2937"/>
                <w:sz w:val="21"/>
                <w:szCs w:val="21"/>
              </w:rPr>
              <w:t xml:space="preserve">e) Welke wint.</w:t>
            </w:r>
            <w:r>
              <w:rPr>
                <w:color w:val="1F2937"/>
                <w:sz w:val="21"/>
                <w:szCs w:val="21"/>
              </w:rPr>
              <w:t xml:space="preserve"> Domein, mits de integratie apart staat. De verantwoording moet lopen via de drijvers: QS-3 (H,H) wijst dwingend naar domein; QS-2 (H,H) en de vervangbaarheidseis wijzen naar een afgezonderde integratie. Groepen die antwoorden "domein, want microservices/DDD" hebben de opdracht niet gemaakt — dat is een voorkeur, geen afweging.</w:t>
            </w:r>
          </w:p>
          <w:p>
            <w:pPr>
              <w:spacing w:after="120" w:line="276"/>
            </w:pPr>
            <w:r>
              <w:rPr>
                <w:b/>
                <w:bCs/>
                <w:color w:val="1F2937"/>
                <w:sz w:val="21"/>
                <w:szCs w:val="21"/>
              </w:rPr>
              <w:t xml:space="preserve">f) Criterium 3.</w:t>
            </w:r>
            <w:r>
              <w:rPr>
                <w:color w:val="1F2937"/>
                <w:sz w:val="21"/>
                <w:szCs w:val="21"/>
              </w:rPr>
              <w:t xml:space="preserve"> Minimaal de integratiecomponent met de kernadministratie: die verandert om een andere reden (leverancier, koppelvlak, capaciteit) en in een ander tempo dan de mutatielogica. Andere goede antwoorden: reglementslogica (verandert bij wetswijziging, zelden maar ingrijpend) apart van berichtenopmaak (verandert bij communicatiebeleid, vaak en oppervlakkig); en de audittrail-/gebeurtenisopslag, die vrijwel nooit verandert maar door alles wordt gebruikt.</w:t>
            </w:r>
          </w:p>
        </w:tc>
      </w:tr>
    </w:tbl>
    <w:p>
      <w:pPr>
        <w:spacing w:after="300"/>
      </w:pPr>
    </w:p>
    <w:p>
      <w:pPr>
        <w:pStyle w:val="Heading1"/>
        <w:pBdr>
          <w:bottom w:val="single" w:color="E5E7EB" w:sz="6" w:space="6"/>
        </w:pBdr>
        <w:spacing w:after="180" w:before="380"/>
      </w:pPr>
      <w:r>
        <w:rPr>
          <w:b/>
          <w:bCs/>
          <w:color w:val="1F3A5F"/>
          <w:sz w:val="30"/>
          <w:szCs w:val="30"/>
        </w:rPr>
        <w:t xml:space="preserve">Opdracht 3.4 — Het contract van de integratiecomponent (duo's, 25 minuten)</w:t>
      </w:r>
    </w:p>
    <w:p>
      <w:pPr>
        <w:spacing w:after="160" w:line="276"/>
      </w:pPr>
      <w:r>
        <w:rPr>
          <w:color w:val="1F2937"/>
          <w:sz w:val="22"/>
          <w:szCs w:val="22"/>
        </w:rPr>
        <w:t xml:space="preserve">De integratie met de kernadministratie is de plek waar information hiding het meest oplevert.</w:t>
      </w:r>
    </w:p>
    <w:p>
      <w:pPr>
        <w:pStyle w:val="ListParagraph"/>
        <w:numPr>
          <w:ilvl w:val="0"/>
          <w:numId w:val="2"/>
        </w:numPr>
        <w:spacing w:after="100"/>
      </w:pPr>
      <w:r>
        <w:rPr>
          <w:b/>
          <w:bCs/>
          <w:color w:val="1F2937"/>
          <w:sz w:val="22"/>
          <w:szCs w:val="22"/>
        </w:rPr>
        <w:t xml:space="preserve">a)</w:t>
      </w:r>
      <w:r>
        <w:rPr>
          <w:color w:val="1F2937"/>
          <w:sz w:val="22"/>
          <w:szCs w:val="22"/>
        </w:rPr>
        <w:t xml:space="preserve"> Maak twee lijsten: wat verbergen we en wat beloven we. Gebruik de casusgegevens (SOAP, 20 aanroepen per seconde, hoofdlettereis op sommige velden, drie herpogingen met oplopende wachttijd) en vul aan.</w:t>
      </w:r>
    </w:p>
    <w:p>
      <w:pPr>
        <w:pStyle w:val="ListParagraph"/>
        <w:numPr>
          <w:ilvl w:val="0"/>
          <w:numId w:val="2"/>
        </w:numPr>
        <w:spacing w:after="100"/>
      </w:pPr>
      <w:r>
        <w:rPr>
          <w:b/>
          <w:bCs/>
          <w:color w:val="1F2937"/>
          <w:sz w:val="22"/>
          <w:szCs w:val="22"/>
        </w:rPr>
        <w:t xml:space="preserve">b)</w:t>
      </w:r>
      <w:r>
        <w:rPr>
          <w:color w:val="1F2937"/>
          <w:sz w:val="22"/>
          <w:szCs w:val="22"/>
        </w:rPr>
        <w:t xml:space="preserve"> Formuleer het contract in maximaal zes bewerkingen, elk met: naam, betekenis, en wat er gegarandeerd is bij fouten. Gebruik geen enkel woord dat naar de implementatie verwijst.</w:t>
      </w:r>
    </w:p>
    <w:p>
      <w:pPr>
        <w:pStyle w:val="ListParagraph"/>
        <w:numPr>
          <w:ilvl w:val="0"/>
          <w:numId w:val="2"/>
        </w:numPr>
        <w:spacing w:after="100"/>
      </w:pPr>
      <w:r>
        <w:rPr>
          <w:b/>
          <w:bCs/>
          <w:color w:val="1F2937"/>
          <w:sz w:val="22"/>
          <w:szCs w:val="22"/>
        </w:rPr>
        <w:t xml:space="preserve">c)</w:t>
      </w:r>
      <w:r>
        <w:rPr>
          <w:color w:val="1F2937"/>
          <w:sz w:val="22"/>
          <w:szCs w:val="22"/>
        </w:rPr>
        <w:t xml:space="preserve"> Lektest. Loop uw contract langs en zoek naar plaatsen waar een aanroeper zou kunnen afleiden hoe het van binnen werkt. Foutcodes, wachttijden, veldlengtes, volgorde-eisen: alles telt.</w:t>
      </w:r>
    </w:p>
    <w:p>
      <w:pPr>
        <w:pStyle w:val="ListParagraph"/>
        <w:numPr>
          <w:ilvl w:val="0"/>
          <w:numId w:val="2"/>
        </w:numPr>
        <w:spacing w:after="100"/>
      </w:pPr>
      <w:r>
        <w:rPr>
          <w:b/>
          <w:bCs/>
          <w:color w:val="1F2937"/>
          <w:sz w:val="22"/>
          <w:szCs w:val="22"/>
        </w:rPr>
        <w:t xml:space="preserve">d)</w:t>
      </w:r>
      <w:r>
        <w:rPr>
          <w:color w:val="1F2937"/>
          <w:sz w:val="22"/>
          <w:szCs w:val="22"/>
        </w:rPr>
        <w:t xml:space="preserve"> Beantwoord: welke van uw vier architectuurdrijvers wordt door dit contract gediend, en welke wordt er duurder van?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3.4</w:t>
            </w:r>
          </w:p>
          <w:p>
            <w:pPr>
              <w:spacing w:after="80"/>
            </w:pPr>
          </w:p>
          <w:p>
            <w:pPr>
              <w:spacing w:after="120" w:line="276"/>
            </w:pPr>
            <w:r>
              <w:rPr>
                <w:b/>
                <w:bCs/>
                <w:color w:val="1F2937"/>
                <w:sz w:val="21"/>
                <w:szCs w:val="21"/>
              </w:rPr>
              <w:t xml:space="preserve">a) Verbergen: </w:t>
            </w:r>
            <w:r>
              <w:rPr>
                <w:color w:val="1F2937"/>
                <w:sz w:val="21"/>
                <w:szCs w:val="21"/>
              </w:rPr>
              <w:t xml:space="preserve">het protocol (SOAP), de limiet van 20 aanroepen per seconde en de daarvoor benodigde afvlakking, de hoofdlettereis, het herpogingsbeleid, de foutcodes van het pakket, de volgorde-eisen tussen aanroepen, en het feit dat sommige mutaties in het pakket uit twee aanroepen bestaan.</w:t>
            </w:r>
          </w:p>
          <w:p>
            <w:pPr>
              <w:spacing w:after="120" w:line="276"/>
            </w:pPr>
            <w:r>
              <w:rPr>
                <w:b/>
                <w:bCs/>
                <w:color w:val="1F2937"/>
                <w:sz w:val="21"/>
                <w:szCs w:val="21"/>
              </w:rPr>
              <w:t xml:space="preserve">Beloven: </w:t>
            </w:r>
            <w:r>
              <w:rPr>
                <w:color w:val="1F2937"/>
                <w:sz w:val="21"/>
                <w:szCs w:val="21"/>
              </w:rPr>
              <w:t xml:space="preserve">dat een aangeboden mutatie uiteindelijk precies één keer wordt doorgegeven; dat de aanbieder wordt geïnformeerd wanneer dat gelukt is; dat een aangeboden mutatie niet verloren gaat bij uitval; dat een blijvend mislukte mutatie zichtbaar wordt in een vorm waarop een behandelaar kan handelen.</w:t>
            </w:r>
          </w:p>
          <w:p>
            <w:pPr>
              <w:spacing w:after="120" w:line="276"/>
            </w:pPr>
            <w:r>
              <w:rPr>
                <w:b/>
                <w:bCs/>
                <w:color w:val="1F2937"/>
                <w:sz w:val="21"/>
                <w:szCs w:val="21"/>
              </w:rPr>
              <w:t xml:space="preserve">b) Contract, voorbeeld:</w:t>
            </w:r>
            <w:r>
              <w:rPr>
                <w:color w:val="1F2937"/>
                <w:sz w:val="21"/>
                <w:szCs w:val="21"/>
              </w:rPr>
              <w:t xml:space="preserve"/>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000"/>
              <w:gridCol w:w="3400"/>
              <w:gridCol w:w="2738"/>
            </w:tblGrid>
            <w:tr>
              <w:trPr>
                <w:tblHeader/>
              </w:trPr>
              <w:tc>
                <w:tcPr>
                  <w:tcW w:type="dxa" w:w="3000"/>
                  <w:shd w:fill="1F3A5F" w:val="clear"/>
                  <w:tcMar>
                    <w:top w:type="dxa" w:w="100"/>
                    <w:left w:type="dxa" w:w="120"/>
                    <w:bottom w:type="dxa" w:w="100"/>
                    <w:right w:type="dxa" w:w="120"/>
                  </w:tcMar>
                  <w:vAlign w:val="center"/>
                </w:tcPr>
                <w:p>
                  <w:r>
                    <w:rPr>
                      <w:b/>
                      <w:bCs/>
                      <w:color w:val="FFFFFF"/>
                      <w:sz w:val="19"/>
                      <w:szCs w:val="19"/>
                    </w:rPr>
                    <w:t xml:space="preserve">Bewerking</w:t>
                  </w:r>
                </w:p>
              </w:tc>
              <w:tc>
                <w:tcPr>
                  <w:tcW w:type="dxa" w:w="3400"/>
                  <w:shd w:fill="1F3A5F" w:val="clear"/>
                  <w:tcMar>
                    <w:top w:type="dxa" w:w="100"/>
                    <w:left w:type="dxa" w:w="120"/>
                    <w:bottom w:type="dxa" w:w="100"/>
                    <w:right w:type="dxa" w:w="120"/>
                  </w:tcMar>
                  <w:vAlign w:val="center"/>
                </w:tcPr>
                <w:p>
                  <w:r>
                    <w:rPr>
                      <w:b/>
                      <w:bCs/>
                      <w:color w:val="FFFFFF"/>
                      <w:sz w:val="19"/>
                      <w:szCs w:val="19"/>
                    </w:rPr>
                    <w:t xml:space="preserve">Betekenis</w:t>
                  </w:r>
                </w:p>
              </w:tc>
              <w:tc>
                <w:tcPr>
                  <w:tcW w:type="dxa" w:w="2738"/>
                  <w:shd w:fill="1F3A5F" w:val="clear"/>
                  <w:tcMar>
                    <w:top w:type="dxa" w:w="100"/>
                    <w:left w:type="dxa" w:w="120"/>
                    <w:bottom w:type="dxa" w:w="100"/>
                    <w:right w:type="dxa" w:w="120"/>
                  </w:tcMar>
                  <w:vAlign w:val="center"/>
                </w:tcPr>
                <w:p>
                  <w:r>
                    <w:rPr>
                      <w:b/>
                      <w:bCs/>
                      <w:color w:val="FFFFFF"/>
                      <w:sz w:val="19"/>
                      <w:szCs w:val="19"/>
                    </w:rPr>
                    <w:t xml:space="preserve">Bij fouten</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biedMutatieAan(mutatie)</w:t>
                  </w:r>
                </w:p>
              </w:tc>
              <w:tc>
                <w:tcPr>
                  <w:tcW w:type="dxa" w:w="3400"/>
                  <w:tcMar>
                    <w:top w:type="dxa" w:w="100"/>
                    <w:left w:type="dxa" w:w="120"/>
                    <w:bottom w:type="dxa" w:w="100"/>
                    <w:right w:type="dxa" w:w="120"/>
                  </w:tcMar>
                  <w:vAlign w:val="center"/>
                </w:tcPr>
                <w:p>
                  <w:r>
                    <w:rPr>
                      <w:b w:val="false"/>
                      <w:bCs w:val="false"/>
                      <w:color w:val="1F2937"/>
                      <w:sz w:val="19"/>
                      <w:szCs w:val="19"/>
                    </w:rPr>
                    <w:t xml:space="preserve">De mutatie wordt aanvaard voor doorgifte</w:t>
                  </w:r>
                </w:p>
              </w:tc>
              <w:tc>
                <w:tcPr>
                  <w:tcW w:type="dxa" w:w="2738"/>
                  <w:tcMar>
                    <w:top w:type="dxa" w:w="100"/>
                    <w:left w:type="dxa" w:w="120"/>
                    <w:bottom w:type="dxa" w:w="100"/>
                    <w:right w:type="dxa" w:w="120"/>
                  </w:tcMar>
                  <w:vAlign w:val="center"/>
                </w:tcPr>
                <w:p>
                  <w:r>
                    <w:rPr>
                      <w:b w:val="false"/>
                      <w:bCs w:val="false"/>
                      <w:color w:val="1F2937"/>
                      <w:sz w:val="19"/>
                      <w:szCs w:val="19"/>
                    </w:rPr>
                    <w:t xml:space="preserve">Aanvaarding faalt alleen bij een ongeldige mutatie; capaciteitsproblemen leiden nooit tot weigering</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vraagDoorgifteStatus(mutatieId)</w:t>
                  </w:r>
                </w:p>
              </w:tc>
              <w:tc>
                <w:tcPr>
                  <w:tcW w:type="dxa" w:w="3400"/>
                  <w:tcMar>
                    <w:top w:type="dxa" w:w="100"/>
                    <w:left w:type="dxa" w:w="120"/>
                    <w:bottom w:type="dxa" w:w="100"/>
                    <w:right w:type="dxa" w:w="120"/>
                  </w:tcMar>
                  <w:vAlign w:val="center"/>
                </w:tcPr>
                <w:p>
                  <w:r>
                    <w:rPr>
                      <w:b w:val="false"/>
                      <w:bCs w:val="false"/>
                      <w:color w:val="1F2937"/>
                      <w:sz w:val="19"/>
                      <w:szCs w:val="19"/>
                    </w:rPr>
                    <w:t xml:space="preserve">Aangeboden / doorgegeven / vastgelopen, met tijdstip</w:t>
                  </w:r>
                </w:p>
              </w:tc>
              <w:tc>
                <w:tcPr>
                  <w:tcW w:type="dxa" w:w="27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vraagVastgelopenMutaties()</w:t>
                  </w:r>
                </w:p>
              </w:tc>
              <w:tc>
                <w:tcPr>
                  <w:tcW w:type="dxa" w:w="3400"/>
                  <w:tcMar>
                    <w:top w:type="dxa" w:w="100"/>
                    <w:left w:type="dxa" w:w="120"/>
                    <w:bottom w:type="dxa" w:w="100"/>
                    <w:right w:type="dxa" w:w="120"/>
                  </w:tcMar>
                  <w:vAlign w:val="center"/>
                </w:tcPr>
                <w:p>
                  <w:r>
                    <w:rPr>
                      <w:b w:val="false"/>
                      <w:bCs w:val="false"/>
                      <w:color w:val="1F2937"/>
                      <w:sz w:val="19"/>
                      <w:szCs w:val="19"/>
                    </w:rPr>
                    <w:t xml:space="preserve">Lijst mutaties die handmatige aandacht vragen</w:t>
                  </w:r>
                </w:p>
              </w:tc>
              <w:tc>
                <w:tcPr>
                  <w:tcW w:type="dxa" w:w="27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hervatDoorgifte(mutatieId)</w:t>
                  </w:r>
                </w:p>
              </w:tc>
              <w:tc>
                <w:tcPr>
                  <w:tcW w:type="dxa" w:w="3400"/>
                  <w:tcMar>
                    <w:top w:type="dxa" w:w="100"/>
                    <w:left w:type="dxa" w:w="120"/>
                    <w:bottom w:type="dxa" w:w="100"/>
                    <w:right w:type="dxa" w:w="120"/>
                  </w:tcMar>
                  <w:vAlign w:val="center"/>
                </w:tcPr>
                <w:p>
                  <w:r>
                    <w:rPr>
                      <w:b w:val="false"/>
                      <w:bCs w:val="false"/>
                      <w:color w:val="1F2937"/>
                      <w:sz w:val="19"/>
                      <w:szCs w:val="19"/>
                    </w:rPr>
                    <w:t xml:space="preserve">Opnieuw aanbieden na correctie</w:t>
                  </w:r>
                </w:p>
              </w:tc>
              <w:tc>
                <w:tcPr>
                  <w:tcW w:type="dxa" w:w="2738"/>
                  <w:tcMar>
                    <w:top w:type="dxa" w:w="100"/>
                    <w:left w:type="dxa" w:w="120"/>
                    <w:bottom w:type="dxa" w:w="100"/>
                    <w:right w:type="dxa" w:w="120"/>
                  </w:tcMar>
                  <w:vAlign w:val="center"/>
                </w:tcPr>
                <w:p>
                  <w:r>
                    <w:rPr>
                      <w:b w:val="false"/>
                      <w:bCs w:val="false"/>
                      <w:color w:val="1F2937"/>
                      <w:sz w:val="19"/>
                      <w:szCs w:val="19"/>
                    </w:rPr>
                    <w:t xml:space="preserve">Meldt of hervatten mogelijk is</w:t>
                  </w:r>
                </w:p>
              </w:tc>
            </w:tr>
          </w:tbl>
          <w:p>
            <w:pPr>
              <w:spacing w:after="100"/>
            </w:pPr>
          </w:p>
          <w:p>
            <w:pPr>
              <w:spacing w:after="120" w:line="276"/>
            </w:pPr>
            <w:r>
              <w:rPr>
                <w:b/>
                <w:bCs/>
                <w:color w:val="1F2937"/>
                <w:sz w:val="21"/>
                <w:szCs w:val="21"/>
              </w:rPr>
              <w:t xml:space="preserve">c) Lektest — de vier meest voorkomende lekken in inzendingen:</w:t>
            </w:r>
            <w:r>
              <w:rPr>
                <w:color w:val="1F2937"/>
                <w:sz w:val="21"/>
                <w:szCs w:val="21"/>
              </w:rPr>
              <w:t xml:space="preserve"/>
            </w:r>
          </w:p>
          <w:p>
            <w:pPr>
              <w:pStyle w:val="ListParagraph"/>
              <w:numPr>
                <w:ilvl w:val="0"/>
                <w:numId w:val="4"/>
              </w:numPr>
              <w:spacing w:after="120"/>
            </w:pPr>
            <w:r>
              <w:rPr>
                <w:color w:val="1F2937"/>
                <w:sz w:val="22"/>
                <w:szCs w:val="22"/>
              </w:rPr>
              <w:t xml:space="preserve">Een bewerking isBeschikbaar(). Verraadt dat er een externe dienst is, en verleidt aanroepers tot eigen logica die het contract juist wilde wegnemen.</w:t>
            </w:r>
          </w:p>
          <w:p>
            <w:pPr>
              <w:pStyle w:val="ListParagraph"/>
              <w:numPr>
                <w:ilvl w:val="0"/>
                <w:numId w:val="4"/>
              </w:numPr>
              <w:spacing w:after="120"/>
            </w:pPr>
            <w:r>
              <w:rPr>
                <w:color w:val="1F2937"/>
                <w:sz w:val="22"/>
                <w:szCs w:val="22"/>
              </w:rPr>
              <w:t xml:space="preserve">Foutcodes doorgeven "voor de duidelijkheid". Zodra één aanroeper erop reageert, ligt het protocol vast.</w:t>
            </w:r>
          </w:p>
          <w:p>
            <w:pPr>
              <w:pStyle w:val="ListParagraph"/>
              <w:numPr>
                <w:ilvl w:val="0"/>
                <w:numId w:val="4"/>
              </w:numPr>
              <w:spacing w:after="120"/>
            </w:pPr>
            <w:r>
              <w:rPr>
                <w:color w:val="1F2937"/>
                <w:sz w:val="22"/>
                <w:szCs w:val="22"/>
              </w:rPr>
              <w:t xml:space="preserve">Een parameter prioriteit of direct: true. Dit is besturingskoppeling en het onthult dat er een wachtrij is.</w:t>
            </w:r>
          </w:p>
          <w:p>
            <w:pPr>
              <w:pStyle w:val="ListParagraph"/>
              <w:numPr>
                <w:ilvl w:val="0"/>
                <w:numId w:val="4"/>
              </w:numPr>
              <w:spacing w:after="120"/>
            </w:pPr>
            <w:r>
              <w:rPr>
                <w:color w:val="1F2937"/>
                <w:sz w:val="22"/>
                <w:szCs w:val="22"/>
              </w:rPr>
              <w:t xml:space="preserve">Een tijdsbelofte in de bewerkingsnaam (biedDirectAan). Doorgifte is asynchroon; elke suggestie van directheid is een lek.</w:t>
            </w:r>
          </w:p>
          <w:p>
            <w:pPr>
              <w:spacing w:after="120" w:line="276"/>
            </w:pPr>
            <w:r>
              <w:rPr>
                <w:b/>
                <w:bCs/>
                <w:color w:val="1F2937"/>
                <w:sz w:val="21"/>
                <w:szCs w:val="21"/>
              </w:rPr>
              <w:t xml:space="preserve">d) Gediend: </w:t>
            </w:r>
            <w:r>
              <w:rPr>
                <w:color w:val="1F2937"/>
                <w:sz w:val="21"/>
                <w:szCs w:val="21"/>
              </w:rPr>
              <w:t xml:space="preserve">QS-2 (doorwerken bij onbereikbaar koppelvlak) en de vervangbaarheidseis; indirect QS-1, omdat de bevestiging niet meer op het pakket hoeft te wachten. Duurder: QS-4 in de zin dat de reconstructie nu twee plekken kent (gebeurtenis in het platform, verwerking in het pakket) en het bewijs dat die overeenkomen apart geleverd moet worden — precies de prijs die in de trade-off van deel 2 is opgeschreven. Wie dit ziet, heeft de doorlopende lijn te pakken.</w:t>
            </w:r>
          </w:p>
        </w:tc>
      </w:tr>
    </w:tbl>
    <w:p>
      <w:pPr>
        <w:spacing w:after="300"/>
      </w:pPr>
    </w:p>
    <w:p>
      <w:pPr>
        <w:pStyle w:val="Heading1"/>
        <w:pBdr>
          <w:bottom w:val="single" w:color="E5E7EB" w:sz="6" w:space="6"/>
        </w:pBdr>
        <w:spacing w:after="180" w:before="380"/>
      </w:pPr>
      <w:r>
        <w:rPr>
          <w:b/>
          <w:bCs/>
          <w:color w:val="1F3A5F"/>
          <w:sz w:val="30"/>
          <w:szCs w:val="30"/>
        </w:rPr>
        <w:t xml:space="preserve">Opdracht 3.5 — DRY of niet? (individueel, 15 minuten)</w:t>
      </w:r>
    </w:p>
    <w:p>
      <w:pPr>
        <w:spacing w:after="160" w:line="276"/>
      </w:pPr>
      <w:r>
        <w:rPr>
          <w:color w:val="1F2937"/>
          <w:sz w:val="22"/>
          <w:szCs w:val="22"/>
        </w:rPr>
        <w:t xml:space="preserve">Beoordeel per geval of samenvoegen verstandig is. Antwoord met samenvoegen, gescheiden houden of hangt af van — en in dat laatste geval: waarvan?</w:t>
      </w:r>
    </w:p>
    <w:p>
      <w:pPr>
        <w:pStyle w:val="ListParagraph"/>
        <w:numPr>
          <w:ilvl w:val="0"/>
          <w:numId w:val="5"/>
        </w:numPr>
        <w:spacing w:after="120"/>
      </w:pPr>
      <w:r>
        <w:rPr>
          <w:color w:val="1F2937"/>
          <w:sz w:val="22"/>
          <w:szCs w:val="22"/>
        </w:rPr>
        <w:t xml:space="preserve">De postcodecontrole voor deelnemersmutaties en die voor werkgeversbatches. Beide controleren op formaat 1234AB.</w:t>
      </w:r>
    </w:p>
    <w:p>
      <w:pPr>
        <w:pStyle w:val="ListParagraph"/>
        <w:numPr>
          <w:ilvl w:val="0"/>
          <w:numId w:val="5"/>
        </w:numPr>
        <w:spacing w:after="120"/>
      </w:pPr>
      <w:r>
        <w:rPr>
          <w:color w:val="1F2937"/>
          <w:sz w:val="22"/>
          <w:szCs w:val="22"/>
        </w:rPr>
        <w:t xml:space="preserve">De berekening van de ingangsdatum bij een scheidingsmutatie en bij een wijziging nabestaandendekking. Beide gebruiken de eerste dag van de volgende maand.</w:t>
      </w:r>
    </w:p>
    <w:p>
      <w:pPr>
        <w:pStyle w:val="ListParagraph"/>
        <w:numPr>
          <w:ilvl w:val="0"/>
          <w:numId w:val="5"/>
        </w:numPr>
        <w:spacing w:after="120"/>
      </w:pPr>
      <w:r>
        <w:rPr>
          <w:color w:val="1F2937"/>
          <w:sz w:val="22"/>
          <w:szCs w:val="22"/>
        </w:rPr>
        <w:t xml:space="preserve">Het opmaken van een bevestigingsbrief bij adreswijziging en bij e-mailwijziging. Beide bevatten naam, datum en de gewijzigde gegevens.</w:t>
      </w:r>
    </w:p>
    <w:p>
      <w:pPr>
        <w:pStyle w:val="ListParagraph"/>
        <w:numPr>
          <w:ilvl w:val="0"/>
          <w:numId w:val="5"/>
        </w:numPr>
        <w:spacing w:after="120"/>
      </w:pPr>
      <w:r>
        <w:rPr>
          <w:color w:val="1F2937"/>
          <w:sz w:val="22"/>
          <w:szCs w:val="22"/>
        </w:rPr>
        <w:t xml:space="preserve">De logica die bepaalt of een mutatie goedkeuring van een tweede medewerker vereist, in zes verschillende mutatiesoorten.</w:t>
      </w:r>
    </w:p>
    <w:p>
      <w:pPr>
        <w:pStyle w:val="ListParagraph"/>
        <w:numPr>
          <w:ilvl w:val="0"/>
          <w:numId w:val="5"/>
        </w:numPr>
        <w:spacing w:after="120"/>
      </w:pPr>
      <w:r>
        <w:rPr>
          <w:color w:val="1F2937"/>
          <w:sz w:val="22"/>
          <w:szCs w:val="22"/>
        </w:rPr>
        <w:t xml:space="preserve">Het omzetten van interne foutcodes naar gebruikersteksten, in de portaalcomponent en in de behandelaarscomponent.</w:t>
      </w:r>
    </w:p>
    <w:p>
      <w:pPr>
        <w:pStyle w:val="ListParagraph"/>
        <w:numPr>
          <w:ilvl w:val="0"/>
          <w:numId w:val="5"/>
        </w:numPr>
        <w:spacing w:after="120"/>
      </w:pPr>
      <w:r>
        <w:rPr>
          <w:color w:val="1F2937"/>
          <w:sz w:val="22"/>
          <w:szCs w:val="22"/>
        </w:rPr>
        <w:t xml:space="preserve">De aanroep naar de kernadministratie, in acht componenten die elk hun eigen mutatie moeten doorgeven.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3.5</w:t>
            </w:r>
          </w:p>
          <w:p>
            <w:pPr>
              <w:spacing w:after="80"/>
            </w:pPr>
          </w:p>
          <w:p>
            <w:pPr>
              <w:pStyle w:val="ListParagraph"/>
              <w:numPr>
                <w:ilvl w:val="0"/>
                <w:numId w:val="6"/>
              </w:numPr>
              <w:spacing w:after="120"/>
            </w:pPr>
            <w:r>
              <w:rPr>
                <w:b/>
                <w:bCs/>
                <w:color w:val="1F2937"/>
                <w:sz w:val="22"/>
                <w:szCs w:val="22"/>
              </w:rPr>
              <w:t xml:space="preserve">Hangt af van</w:t>
            </w:r>
            <w:r>
              <w:rPr>
                <w:color w:val="1F2937"/>
                <w:sz w:val="22"/>
                <w:szCs w:val="22"/>
              </w:rPr>
              <w:t xml:space="preserve"> — van het foutgedrag. Het formaat (1234AB) is dezelfde kennis en mag gedeeld worden; wat er gebeurt bij een ongeldige waarde verschilt fundamenteel (fout versus overslaan-en-rapporteren) en mag niet gedeeld worden. Antwoord: deel de formaatregel, scheid het gedrag.</w:t>
            </w:r>
          </w:p>
          <w:p>
            <w:pPr>
              <w:pStyle w:val="ListParagraph"/>
              <w:numPr>
                <w:ilvl w:val="0"/>
                <w:numId w:val="6"/>
              </w:numPr>
              <w:spacing w:after="120"/>
            </w:pPr>
            <w:r>
              <w:rPr>
                <w:b/>
                <w:bCs/>
                <w:color w:val="1F2937"/>
                <w:sz w:val="22"/>
                <w:szCs w:val="22"/>
              </w:rPr>
              <w:t xml:space="preserve">Gescheiden houden.</w:t>
            </w:r>
            <w:r>
              <w:rPr>
                <w:color w:val="1F2937"/>
                <w:sz w:val="22"/>
                <w:szCs w:val="22"/>
              </w:rPr>
              <w:t xml:space="preserve"> Ze zijn vandaag gelijk en veranderen om verschillende redenen: de scheidingsregel volgt uit het reglement pensioenverevening, de nabestaandenregel uit het pensioenreglement. Eén wetswijziging raakt er één. Dit is de klassieke valse DRY.</w:t>
            </w:r>
          </w:p>
          <w:p>
            <w:pPr>
              <w:pStyle w:val="ListParagraph"/>
              <w:numPr>
                <w:ilvl w:val="0"/>
                <w:numId w:val="6"/>
              </w:numPr>
              <w:spacing w:after="120"/>
            </w:pPr>
            <w:r>
              <w:rPr>
                <w:b/>
                <w:bCs/>
                <w:color w:val="1F2937"/>
                <w:sz w:val="22"/>
                <w:szCs w:val="22"/>
              </w:rPr>
              <w:t xml:space="preserve">Hangt af van</w:t>
            </w:r>
            <w:r>
              <w:rPr>
                <w:color w:val="1F2937"/>
                <w:sz w:val="22"/>
                <w:szCs w:val="22"/>
              </w:rPr>
              <w:t xml:space="preserve"> — hier ligt de scheidslijn tussen sjabloon en inhoud. De opmaakmachinerie is dezelfde kennis (samenvoegen), de inhoud per mutatiesoort niet (scheiden).</w:t>
            </w:r>
          </w:p>
          <w:p>
            <w:pPr>
              <w:pStyle w:val="ListParagraph"/>
              <w:numPr>
                <w:ilvl w:val="0"/>
                <w:numId w:val="6"/>
              </w:numPr>
              <w:spacing w:after="120"/>
            </w:pPr>
            <w:r>
              <w:rPr>
                <w:b/>
                <w:bCs/>
                <w:color w:val="1F2937"/>
                <w:sz w:val="22"/>
                <w:szCs w:val="22"/>
              </w:rPr>
              <w:t xml:space="preserve">Samenvoegen,</w:t>
            </w:r>
            <w:r>
              <w:rPr>
                <w:color w:val="1F2937"/>
                <w:sz w:val="22"/>
                <w:szCs w:val="22"/>
              </w:rPr>
              <w:t xml:space="preserve"> waarschijnlijk. "Vereist deze mutatie vierogen?" is één beleidsregel met één eigenaar (compliance), die op één plaats hoort. Let op de vorm: als de regel per mutatiesoort andere drempels heeft, is het beleid gedeeld en de parametrisering lokaal — geen if mutatiesoort == ... in de gedeelde component, want dan hebt u besturingskoppeling ingebouwd.</w:t>
            </w:r>
          </w:p>
          <w:p>
            <w:pPr>
              <w:pStyle w:val="ListParagraph"/>
              <w:numPr>
                <w:ilvl w:val="0"/>
                <w:numId w:val="6"/>
              </w:numPr>
              <w:spacing w:after="120"/>
            </w:pPr>
            <w:r>
              <w:rPr>
                <w:b/>
                <w:bCs/>
                <w:color w:val="1F2937"/>
                <w:sz w:val="22"/>
                <w:szCs w:val="22"/>
              </w:rPr>
              <w:t xml:space="preserve">Samenvoegen.</w:t>
            </w:r>
            <w:r>
              <w:rPr>
                <w:color w:val="1F2937"/>
                <w:sz w:val="22"/>
                <w:szCs w:val="22"/>
              </w:rPr>
              <w:t xml:space="preserve"> Foutcode-naar-tekst is één afspraak; twee vertalingen van dezelfde code is precies het soort inconsistentie dat conceptual integrity ondermijnt.</w:t>
            </w:r>
          </w:p>
          <w:p>
            <w:pPr>
              <w:pStyle w:val="ListParagraph"/>
              <w:numPr>
                <w:ilvl w:val="0"/>
                <w:numId w:val="6"/>
              </w:numPr>
              <w:spacing w:after="120"/>
            </w:pPr>
            <w:r>
              <w:rPr>
                <w:b/>
                <w:bCs/>
                <w:color w:val="1F2937"/>
                <w:sz w:val="22"/>
                <w:szCs w:val="22"/>
              </w:rPr>
              <w:t xml:space="preserve">Samenvoegen</w:t>
            </w:r>
            <w:r>
              <w:rPr>
                <w:color w:val="1F2937"/>
                <w:sz w:val="22"/>
                <w:szCs w:val="22"/>
              </w:rPr>
              <w:t xml:space="preserve"> — dit is de integratiecomponent uit opdracht 3.4. Acht implementaties van hetzelfde koppelvlak is de fout uit Mutatie 1.0.</w:t>
            </w:r>
          </w:p>
          <w:p>
            <w:pPr>
              <w:spacing w:after="100"/>
            </w:pPr>
          </w:p>
          <w:p>
            <w:pPr>
              <w:spacing w:after="120" w:line="276"/>
            </w:pPr>
            <w:r>
              <w:rPr>
                <w:b/>
                <w:bCs/>
                <w:color w:val="1F2937"/>
                <w:sz w:val="21"/>
                <w:szCs w:val="21"/>
              </w:rPr>
              <w:t xml:space="preserve">Het patroon: </w:t>
            </w:r>
            <w:r>
              <w:rPr>
                <w:color w:val="1F2937"/>
                <w:sz w:val="21"/>
                <w:szCs w:val="21"/>
              </w:rPr>
              <w:t xml:space="preserve">samenvoegen is verstandig als er één eigenaar is die één reden tot verandering heeft (4, 5, 6). Scheiden is verstandig zodra twee partijen om verschillende redenen aan hetzelfde ding trekken (1-gedrag, 2, 3-inhoud). De vraag is nooit "lijkt het op elkaar" maar "verandert het samen".</w:t>
            </w:r>
          </w:p>
        </w:tc>
      </w:tr>
    </w:tbl>
    <w:p>
      <w:pPr>
        <w:spacing w:after="300"/>
      </w:pPr>
    </w:p>
    <w:p>
      <w:pPr>
        <w:pStyle w:val="Heading1"/>
        <w:pBdr>
          <w:bottom w:val="single" w:color="E5E7EB" w:sz="6" w:space="6"/>
        </w:pBdr>
        <w:spacing w:after="180" w:before="380"/>
      </w:pPr>
      <w:r>
        <w:rPr>
          <w:b/>
          <w:bCs/>
          <w:color w:val="1F3A5F"/>
          <w:sz w:val="30"/>
          <w:szCs w:val="30"/>
        </w:rPr>
        <w:t xml:space="preserve">Opdracht 3.6 — Uw eigen systeem: de duurste wijziging (individueel huiswerk, 45 minuten)</w:t>
      </w:r>
    </w:p>
    <w:p>
      <w:pPr>
        <w:pStyle w:val="ListParagraph"/>
        <w:numPr>
          <w:ilvl w:val="0"/>
          <w:numId w:val="2"/>
        </w:numPr>
        <w:spacing w:after="100"/>
      </w:pPr>
      <w:r>
        <w:rPr>
          <w:b/>
          <w:bCs/>
          <w:color w:val="1F2937"/>
          <w:sz w:val="22"/>
          <w:szCs w:val="22"/>
        </w:rPr>
        <w:t xml:space="preserve">a)</w:t>
      </w:r>
      <w:r>
        <w:rPr>
          <w:color w:val="1F2937"/>
          <w:sz w:val="22"/>
          <w:szCs w:val="22"/>
        </w:rPr>
        <w:t xml:space="preserve"> Noem de duurste wijziging die het afgelopen jaar in uw systeem is doorgevoerd. Duur in doorlooptijd of in gevolgschade, niet in geld.</w:t>
      </w:r>
    </w:p>
    <w:p>
      <w:pPr>
        <w:pStyle w:val="ListParagraph"/>
        <w:numPr>
          <w:ilvl w:val="0"/>
          <w:numId w:val="2"/>
        </w:numPr>
        <w:spacing w:after="100"/>
      </w:pPr>
      <w:r>
        <w:rPr>
          <w:b/>
          <w:bCs/>
          <w:color w:val="1F2937"/>
          <w:sz w:val="22"/>
          <w:szCs w:val="22"/>
        </w:rPr>
        <w:t xml:space="preserve">b)</w:t>
      </w:r>
      <w:r>
        <w:rPr>
          <w:color w:val="1F2937"/>
          <w:sz w:val="22"/>
          <w:szCs w:val="22"/>
        </w:rPr>
        <w:t xml:space="preserve"> Analyseer waarom hij duur was. Gebruik expliciet de begrippen uit dit deel: welke soort koppeling speelde er, welke cohesiefout lag eronder, welke abstractie ontbrak of was verkeerd?</w:t>
      </w:r>
    </w:p>
    <w:p>
      <w:pPr>
        <w:pStyle w:val="ListParagraph"/>
        <w:numPr>
          <w:ilvl w:val="0"/>
          <w:numId w:val="2"/>
        </w:numPr>
        <w:spacing w:after="100"/>
      </w:pPr>
      <w:r>
        <w:rPr>
          <w:b/>
          <w:bCs/>
          <w:color w:val="1F2937"/>
          <w:sz w:val="22"/>
          <w:szCs w:val="22"/>
        </w:rPr>
        <w:t xml:space="preserve">c)</w:t>
      </w:r>
      <w:r>
        <w:rPr>
          <w:color w:val="1F2937"/>
          <w:sz w:val="22"/>
          <w:szCs w:val="22"/>
        </w:rPr>
        <w:t xml:space="preserve"> Noem één wijziging die verrassend goedkoop was. Waarom? Wat was daar goed geregeld — en was dat opzet of toeval?</w:t>
      </w:r>
    </w:p>
    <w:p>
      <w:pPr>
        <w:pStyle w:val="ListParagraph"/>
        <w:numPr>
          <w:ilvl w:val="0"/>
          <w:numId w:val="2"/>
        </w:numPr>
        <w:spacing w:after="100"/>
      </w:pPr>
      <w:r>
        <w:rPr>
          <w:b/>
          <w:bCs/>
          <w:color w:val="1F2937"/>
          <w:sz w:val="22"/>
          <w:szCs w:val="22"/>
        </w:rPr>
        <w:t xml:space="preserve">d)</w:t>
      </w:r>
      <w:r>
        <w:rPr>
          <w:color w:val="1F2937"/>
          <w:sz w:val="22"/>
          <w:szCs w:val="22"/>
        </w:rPr>
        <w:t xml:space="preserve"> Stel: u mag één grens in uw systeem verleggen. Welke, en welke wijziging wordt daardoor goedkoop? Wat wordt er duurder?</w:t>
      </w:r>
    </w:p>
    <w:p>
      <w:pPr>
        <w:spacing w:after="160" w:line="276"/>
      </w:pPr>
      <w:r>
        <w:rPr>
          <w:color w:val="1F2937"/>
          <w:sz w:val="22"/>
          <w:szCs w:val="22"/>
        </w:rPr>
        <w:t xml:space="preserve">Onderdeel c) wordt vaak overgeslagen en is het leerzaamst: het is makkelijker te zien wat pijn doet dan te zien wat werkt.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3.6</w:t>
            </w:r>
          </w:p>
          <w:p>
            <w:pPr>
              <w:spacing w:after="80"/>
            </w:pPr>
          </w:p>
          <w:p>
            <w:pPr>
              <w:spacing w:after="120" w:line="276"/>
            </w:pPr>
            <w:r>
              <w:rPr>
                <w:color w:val="1F2937"/>
                <w:sz w:val="21"/>
                <w:szCs w:val="21"/>
              </w:rPr>
              <w:t xml:space="preserve">Individueel. Twee dingen waarop wij bij terugkoppeling letten:</w:t>
            </w:r>
          </w:p>
          <w:p>
            <w:pPr>
              <w:spacing w:after="120" w:line="276"/>
            </w:pPr>
            <w:r>
              <w:rPr>
                <w:color w:val="1F2937"/>
                <w:sz w:val="21"/>
                <w:szCs w:val="21"/>
              </w:rPr>
              <w:t xml:space="preserve">Bij b) is het meest voorkomende foute antwoord "slechte code" of "technische schuld". Dat zijn geen diagnoses maar labels. De bruikbare analyse benoemt de soort koppeling en de reden van verandering die door de indeling heen liep.</w:t>
            </w:r>
          </w:p>
          <w:p>
            <w:pPr>
              <w:spacing w:after="120" w:line="276"/>
            </w:pPr>
            <w:r>
              <w:rPr>
                <w:color w:val="1F2937"/>
                <w:sz w:val="21"/>
                <w:szCs w:val="21"/>
              </w:rPr>
              <w:t xml:space="preserve">Bij c) — de verrassend goedkope wijziging — is het antwoord in ongeveer de helft van de gevallen "toeval": iemand had ooit om andere redenen een grens getrokken die precies goed bleek te liggen. Dat is een eerlijk antwoord en het is instructief, want het laat zien dat een indeling die goed werkt voor wijziging X, dat niet automatisch doet voor wijziging Y. Architectuur maakt sommige toekomsten goedkoop en andere duur; welke, is een keuze.</w:t>
            </w:r>
          </w:p>
        </w:tc>
      </w:tr>
    </w:tbl>
    <w:p>
      <w:pPr>
        <w:spacing w:after="300"/>
      </w:pPr>
    </w:p>
    <w:p>
      <w:pPr>
        <w:pStyle w:val="Heading1"/>
        <w:pBdr>
          <w:bottom w:val="single" w:color="E5E7EB" w:sz="6" w:space="6"/>
        </w:pBdr>
        <w:spacing w:after="180" w:before="380"/>
      </w:pPr>
      <w:r>
        <w:rPr>
          <w:b/>
          <w:bCs/>
          <w:color w:val="1F3A5F"/>
          <w:sz w:val="30"/>
          <w:szCs w:val="30"/>
        </w:rPr>
        <w:t xml:space="preserve">Opdracht 3.7 — Capstonedossier bijwerken (individueel, 15 minuten)</w:t>
      </w:r>
    </w:p>
    <w:p>
      <w:pPr>
        <w:pStyle w:val="ListParagraph"/>
        <w:numPr>
          <w:ilvl w:val="0"/>
          <w:numId w:val="2"/>
        </w:numPr>
        <w:spacing w:after="100"/>
      </w:pPr>
      <w:r>
        <w:rPr>
          <w:b/>
          <w:bCs/>
          <w:color w:val="1F2937"/>
          <w:sz w:val="22"/>
          <w:szCs w:val="22"/>
        </w:rPr>
        <w:t xml:space="preserve">a)</w:t>
      </w:r>
      <w:r>
        <w:rPr>
          <w:color w:val="1F2937"/>
          <w:sz w:val="22"/>
          <w:szCs w:val="22"/>
        </w:rPr>
        <w:t xml:space="preserve"> Vul B3 in bij "mijn maatregel" in uw bevindingenregister.</w:t>
      </w:r>
    </w:p>
    <w:p>
      <w:pPr>
        <w:pStyle w:val="ListParagraph"/>
        <w:numPr>
          <w:ilvl w:val="0"/>
          <w:numId w:val="2"/>
        </w:numPr>
        <w:spacing w:after="100"/>
      </w:pPr>
      <w:r>
        <w:rPr>
          <w:b/>
          <w:bCs/>
          <w:color w:val="1F2937"/>
          <w:sz w:val="22"/>
          <w:szCs w:val="22"/>
        </w:rPr>
        <w:t xml:space="preserve">b)</w:t>
      </w:r>
      <w:r>
        <w:rPr>
          <w:color w:val="1F2937"/>
          <w:sz w:val="22"/>
          <w:szCs w:val="22"/>
        </w:rPr>
        <w:t xml:space="preserve"> Voeg uw hoofdindeling voor Mutatie 2.0 toe (het resultaat van opdracht 3.3), met daarbij in maximaal 150 woorden de verantwoording: waarlangs snijdt u, waarom, en welke wijziging maakt u daarmee bewust duur.</w:t>
      </w:r>
    </w:p>
    <w:p>
      <w:pPr>
        <w:spacing w:after="160" w:line="276"/>
      </w:pPr>
      <w:r>
        <w:rPr>
          <w:color w:val="1F2937"/>
          <w:sz w:val="22"/>
          <w:szCs w:val="22"/>
        </w:rPr>
        <w:t xml:space="preserve">Dat laatste is verplicht. Elke indeling maakt iets duur; wie dat niet kan benoemen, heeft de indeling niet gekozen maar overgenomen.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3.7</w:t>
            </w:r>
          </w:p>
          <w:p>
            <w:pPr>
              <w:spacing w:after="80"/>
            </w:pPr>
          </w:p>
          <w:p>
            <w:pPr>
              <w:spacing w:after="120" w:line="276"/>
            </w:pPr>
            <w:r>
              <w:rPr>
                <w:b/>
                <w:bCs/>
                <w:color w:val="1F2937"/>
                <w:sz w:val="21"/>
                <w:szCs w:val="21"/>
              </w:rPr>
              <w:t xml:space="preserve">a)</w:t>
            </w:r>
            <w:r>
              <w:rPr>
                <w:color w:val="1F2937"/>
                <w:sz w:val="21"/>
                <w:szCs w:val="21"/>
              </w:rPr>
              <w:t xml:space="preserve"> Een verdedigbare B3-maatregel bevat drie elementen: (1) hoofdindeling langs de mutatiesoort met de integratie afgezonderd; (2) een expliciete regel dat gedeelde componenten alleen ontstaan waar één eigenaar één reden tot verandering heeft, met de duplicatie-boven-verkeerde-abstractie-regel als leidraad; (3) een begrippenlijst voor de semantische koppeling, want die is met structuur alleen niet op te lossen.</w:t>
            </w:r>
          </w:p>
          <w:p>
            <w:pPr>
              <w:spacing w:after="120" w:line="276"/>
            </w:pPr>
            <w:r>
              <w:rPr>
                <w:color w:val="1F2937"/>
                <w:sz w:val="21"/>
                <w:szCs w:val="21"/>
              </w:rPr>
              <w:t xml:space="preserve">Element (3) wordt bijna altijd vergeten. Structuur bestrijdt inhouds-, besturings- en gemeenschappelijke koppeling; tegen semantische koppeling helpt alleen taal.</w:t>
            </w:r>
          </w:p>
          <w:p>
            <w:pPr>
              <w:spacing w:after="120" w:line="276"/>
            </w:pPr>
            <w:r>
              <w:rPr>
                <w:b/>
                <w:bCs/>
                <w:color w:val="1F2937"/>
                <w:sz w:val="21"/>
                <w:szCs w:val="21"/>
              </w:rPr>
              <w:t xml:space="preserve">b)</w:t>
            </w:r>
            <w:r>
              <w:rPr>
                <w:color w:val="1F2937"/>
                <w:sz w:val="21"/>
                <w:szCs w:val="21"/>
              </w:rPr>
              <w:t xml:space="preserve"> De verantwoording moet één wijziging noemen die duur wordt. Wie schrijft dat zijn indeling alles goedkoop maakt, heeft niets gekozen. Bij een domeinindeling is het gebruikelijke antwoord: wijzigingen die alle mutatiesoorten tegelijk raken (een nieuw autorisatiemodel, een tweede taal) worden duurder, en die moeten daarom als cross-cutting concept apart geregeld worden — deel 8.</w:t>
            </w:r>
          </w:p>
        </w:tc>
      </w:tr>
    </w:tbl>
    <w:p>
      <w:pPr>
        <w:pBdr>
          <w:top w:val="single" w:color="E5E7EB" w:sz="4" w:space="8"/>
        </w:pBdr>
        <w:spacing w:before="400"/>
        <w:jc w:val="center"/>
      </w:pPr>
      <w:r>
        <w:rPr>
          <w:i/>
          <w:iCs/>
          <w:color w:val="6B7280"/>
          <w:sz w:val="17"/>
          <w:szCs w:val="17"/>
        </w:rPr>
        <w:t xml:space="preserve">Ductus B.V. · Cursus Softwarearchitectuur · Niveau 1, deel 3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3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2026-08-17T14:58:55.318Z</dcterms:created>
  <dcterms:modified xsi:type="dcterms:W3CDTF">2026-08-17T14:58:55.321Z</dcterms:modified>
</cp:coreProperties>
</file>

<file path=docProps/custom.xml><?xml version="1.0" encoding="utf-8"?>
<Properties xmlns="http://schemas.openxmlformats.org/officeDocument/2006/custom-properties" xmlns:vt="http://schemas.openxmlformats.org/officeDocument/2006/docPropsVTypes"/>
</file>