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4 — Architectuurstijlen I</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4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Deel 4 en 5 vormen samen één blok en sluiten samen bevinding B4. Deze tweedeling is bewust en u moet hem consequent bewaken:</w:t>
      </w:r>
    </w:p>
    <w:p>
      <w:pPr>
        <w:pStyle w:val="ListParagraph"/>
        <w:numPr>
          <w:ilvl w:val="0"/>
          <w:numId w:val="2"/>
        </w:numPr>
        <w:spacing w:after="100"/>
      </w:pPr>
      <w:r>
        <w:rPr>
          <w:b/>
          <w:bCs/>
          <w:color w:val="1F2937"/>
          <w:sz w:val="22"/>
          <w:szCs w:val="22"/>
        </w:rPr>
        <w:t xml:space="preserve">Deel 4 gaat over structuur:</w:t>
      </w:r>
      <w:r>
        <w:rPr>
          <w:color w:val="1F2937"/>
          <w:sz w:val="22"/>
          <w:szCs w:val="22"/>
        </w:rPr>
        <w:t xml:space="preserve"> hoe is het systeem van binnen ingedeeld, waar zit de logica, waar hangen de afhankelijkheden.</w:t>
      </w:r>
    </w:p>
    <w:p>
      <w:pPr>
        <w:pStyle w:val="ListParagraph"/>
        <w:numPr>
          <w:ilvl w:val="0"/>
          <w:numId w:val="2"/>
        </w:numPr>
        <w:spacing w:after="100"/>
      </w:pPr>
      <w:r>
        <w:rPr>
          <w:b/>
          <w:bCs/>
          <w:color w:val="1F2937"/>
          <w:sz w:val="22"/>
          <w:szCs w:val="22"/>
        </w:rPr>
        <w:t xml:space="preserve">Deel 5 gaat over distributie:</w:t>
      </w:r>
      <w:r>
        <w:rPr>
          <w:color w:val="1F2937"/>
          <w:sz w:val="22"/>
          <w:szCs w:val="22"/>
        </w:rPr>
        <w:t xml:space="preserve"> in hoeveel afzonderlijk uitrolbare eenheden valt het systeem uiteen, en wat kost dat.</w:t>
      </w:r>
    </w:p>
    <w:p>
      <w:pPr>
        <w:spacing w:after="160" w:line="276"/>
      </w:pPr>
      <w:r>
        <w:rPr>
          <w:color w:val="1F2937"/>
          <w:sz w:val="22"/>
          <w:szCs w:val="22"/>
        </w:rPr>
        <w:t xml:space="preserve">In Mutatie 1.0 zijn die twee vragen door elkaar gehaald: er werd een distributiebeslissing genomen (elf services) en die werd gepresenteerd als structuurbeslissing. Het gevolg was elf onafhankelijk deploybare eenheden met een volstrekt verweven binnenkant — de slechtste combinatie die er is.</w:t>
      </w:r>
    </w:p>
    <w:p>
      <w:pPr>
        <w:spacing w:after="160" w:line="276"/>
      </w:pPr>
      <w:r>
        <w:rPr>
          <w:b/>
          <w:bCs/>
          <w:color w:val="1F2937"/>
          <w:sz w:val="22"/>
          <w:szCs w:val="22"/>
        </w:rPr>
        <w:t xml:space="preserve">Uw belangrijkste taak vandaag is daarom de groep uit deel 5 houden. </w:t>
      </w:r>
      <w:r>
        <w:rPr>
          <w:color w:val="1F2937"/>
          <w:sz w:val="22"/>
          <w:szCs w:val="22"/>
        </w:rPr>
        <w:t xml:space="preserve">De vraag "wordt dit dan één service of meerdere?" komt gegarandeerd binnen het eerste half uur. Het antwoord is elke keer hetzelfde: dat is een andere vraag, en die stellen we volgende week — vandaag bepalen we hoe het van binnen in elkaar zit. Deelnemers die dat onderscheid meenemen naar deel 5, maken daar een echte afweging. Deelnemers die het niet meenemen, herhalen B4.</w:t>
      </w:r>
    </w:p>
    <w:p>
      <w:pPr>
        <w:spacing w:after="160" w:line="276"/>
      </w:pPr>
      <w:r>
        <w:rPr>
          <w:b/>
          <w:bCs/>
          <w:color w:val="1F2937"/>
          <w:sz w:val="22"/>
          <w:szCs w:val="22"/>
        </w:rPr>
        <w:t xml:space="preserve">Tweede functie: </w:t>
      </w:r>
      <w:r>
        <w:rPr>
          <w:color w:val="1F2937"/>
          <w:sz w:val="22"/>
          <w:szCs w:val="22"/>
        </w:rPr>
        <w:t xml:space="preserve">deelnemers leggen vandaag hun stijlkeuze vast in het capstonedossier, inclusief de maatregel tegen halfheid. Die maatregel is in deel 10 een expliciet beoordelingspunt.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200"/>
        <w:gridCol w:w="1300"/>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2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300"/>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600"/>
            <w:tcMar>
              <w:top w:type="dxa" w:w="100"/>
              <w:left w:type="dxa" w:w="120"/>
              <w:bottom w:type="dxa" w:w="100"/>
              <w:right w:type="dxa" w:w="120"/>
            </w:tcMar>
            <w:vAlign w:val="center"/>
          </w:tcPr>
          <w:p>
            <w:r>
              <w:rPr>
                <w:b w:val="false"/>
                <w:bCs w:val="false"/>
                <w:color w:val="1F2937"/>
                <w:sz w:val="19"/>
                <w:szCs w:val="19"/>
              </w:rPr>
              <w:t xml:space="preserve">Terugkoppeling 3.6, brug vanuit deel 3</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0:10–0:30</w:t>
            </w:r>
          </w:p>
        </w:tc>
        <w:tc>
          <w:tcPr>
            <w:tcW w:type="dxa" w:w="4600"/>
            <w:tcMar>
              <w:top w:type="dxa" w:w="100"/>
              <w:left w:type="dxa" w:w="120"/>
              <w:bottom w:type="dxa" w:w="100"/>
              <w:right w:type="dxa" w:w="120"/>
            </w:tcMar>
            <w:vAlign w:val="center"/>
          </w:tcPr>
          <w:p>
            <w:r>
              <w:rPr>
                <w:b w:val="false"/>
                <w:bCs w:val="false"/>
                <w:color w:val="1F2937"/>
                <w:sz w:val="19"/>
                <w:szCs w:val="19"/>
              </w:rPr>
              <w:t xml:space="preserve">Wat is een stijl; vier begrippen; het beoordelingskader</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0:30–0:40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4.1 — classificeren</w:t>
            </w:r>
          </w:p>
        </w:tc>
        <w:tc>
          <w:tcPr>
            <w:tcW w:type="dxa" w:w="2200"/>
            <w:tcMar>
              <w:top w:type="dxa" w:w="100"/>
              <w:left w:type="dxa" w:w="120"/>
              <w:bottom w:type="dxa" w:w="100"/>
              <w:right w:type="dxa" w:w="120"/>
            </w:tcMar>
            <w:vAlign w:val="center"/>
          </w:tcPr>
          <w:p>
            <w:r>
              <w:rPr>
                <w:b w:val="false"/>
                <w:bCs w:val="false"/>
                <w:color w:val="1F2937"/>
                <w:sz w:val="19"/>
                <w:szCs w:val="19"/>
              </w:rPr>
              <w:t xml:space="preserve">individueel + kort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0:40–1:05</w:t>
            </w:r>
          </w:p>
        </w:tc>
        <w:tc>
          <w:tcPr>
            <w:tcW w:type="dxa" w:w="4600"/>
            <w:tcMar>
              <w:top w:type="dxa" w:w="100"/>
              <w:left w:type="dxa" w:w="120"/>
              <w:bottom w:type="dxa" w:w="100"/>
              <w:right w:type="dxa" w:w="120"/>
            </w:tcMar>
            <w:vAlign w:val="center"/>
          </w:tcPr>
          <w:p>
            <w:r>
              <w:rPr>
                <w:b w:val="false"/>
                <w:bCs w:val="false"/>
                <w:color w:val="1F2937"/>
                <w:sz w:val="19"/>
                <w:szCs w:val="19"/>
              </w:rPr>
              <w:t xml:space="preserve">De gelaagde stijl, open/gesloten, twee problemen</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9–12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1:05–1:15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200"/>
            <w:tcMar>
              <w:top w:type="dxa" w:w="100"/>
              <w:left w:type="dxa" w:w="120"/>
              <w:bottom w:type="dxa" w:w="100"/>
              <w:right w:type="dxa" w:w="120"/>
            </w:tcMar>
            <w:vAlign w:val="center"/>
          </w:tcPr>
          <w:p>
            <w:r>
              <w:rPr>
                <w:b w:val="false"/>
                <w:bCs w:val="false"/>
                <w:color w:val="1F2937"/>
                <w:sz w:val="19"/>
                <w:szCs w:val="19"/>
              </w:rPr>
              <w:t xml:space="preserve"/>
            </w:r>
          </w:p>
        </w:tc>
        <w:tc>
          <w:tcPr>
            <w:tcW w:type="dxa" w:w="13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1:15–1:35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4.2 — open of gesloten</w:t>
            </w:r>
          </w:p>
        </w:tc>
        <w:tc>
          <w:tcPr>
            <w:tcW w:type="dxa" w:w="22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1:35–2:05</w:t>
            </w:r>
          </w:p>
        </w:tc>
        <w:tc>
          <w:tcPr>
            <w:tcW w:type="dxa" w:w="4600"/>
            <w:tcMar>
              <w:top w:type="dxa" w:w="100"/>
              <w:left w:type="dxa" w:w="120"/>
              <w:bottom w:type="dxa" w:w="100"/>
              <w:right w:type="dxa" w:w="120"/>
            </w:tcMar>
            <w:vAlign w:val="center"/>
          </w:tcPr>
          <w:p>
            <w:r>
              <w:rPr>
                <w:b w:val="false"/>
                <w:bCs w:val="false"/>
                <w:color w:val="1F2937"/>
                <w:sz w:val="19"/>
                <w:szCs w:val="19"/>
              </w:rPr>
              <w:t xml:space="preserve">Hexagonale architectuur</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14–20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2:05–2:45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4.3 — het hexagoon tekenen</w:t>
            </w:r>
          </w:p>
        </w:tc>
        <w:tc>
          <w:tcPr>
            <w:tcW w:type="dxa" w:w="22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300"/>
            <w:tcMar>
              <w:top w:type="dxa" w:w="100"/>
              <w:left w:type="dxa" w:w="120"/>
              <w:bottom w:type="dxa" w:w="100"/>
              <w:right w:type="dxa" w:w="120"/>
            </w:tcMar>
            <w:vAlign w:val="center"/>
          </w:tcPr>
          <w:p>
            <w:r>
              <w:rPr>
                <w:b w:val="false"/>
                <w:bCs w:val="false"/>
                <w:color w:val="1F2937"/>
                <w:sz w:val="19"/>
                <w:szCs w:val="19"/>
              </w:rPr>
              <w:t xml:space="preserve">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2:45–2:55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200"/>
            <w:tcMar>
              <w:top w:type="dxa" w:w="100"/>
              <w:left w:type="dxa" w:w="120"/>
              <w:bottom w:type="dxa" w:w="100"/>
              <w:right w:type="dxa" w:w="120"/>
            </w:tcMar>
            <w:vAlign w:val="center"/>
          </w:tcPr>
          <w:p>
            <w:r>
              <w:rPr>
                <w:b w:val="false"/>
                <w:bCs w:val="false"/>
                <w:color w:val="1F2937"/>
                <w:sz w:val="19"/>
                <w:szCs w:val="19"/>
              </w:rPr>
              <w:t xml:space="preserve"/>
            </w:r>
          </w:p>
        </w:tc>
        <w:tc>
          <w:tcPr>
            <w:tcW w:type="dxa" w:w="13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2:55–3:15</w:t>
            </w:r>
          </w:p>
        </w:tc>
        <w:tc>
          <w:tcPr>
            <w:tcW w:type="dxa" w:w="4600"/>
            <w:tcMar>
              <w:top w:type="dxa" w:w="100"/>
              <w:left w:type="dxa" w:w="120"/>
              <w:bottom w:type="dxa" w:w="100"/>
              <w:right w:type="dxa" w:w="120"/>
            </w:tcMar>
            <w:vAlign w:val="center"/>
          </w:tcPr>
          <w:p>
            <w:r>
              <w:rPr>
                <w:b w:val="false"/>
                <w:bCs w:val="false"/>
                <w:color w:val="1F2937"/>
                <w:sz w:val="19"/>
                <w:szCs w:val="19"/>
              </w:rPr>
              <w:t xml:space="preserve">Pipes &amp; filters en de foutstrategie</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22–26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3:15–3:40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4.4 — de batch als pipeline</w:t>
            </w:r>
          </w:p>
        </w:tc>
        <w:tc>
          <w:tcPr>
            <w:tcW w:type="dxa" w:w="22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27–29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3:40–3:55</w:t>
            </w:r>
          </w:p>
        </w:tc>
        <w:tc>
          <w:tcPr>
            <w:tcW w:type="dxa" w:w="4600"/>
            <w:tcMar>
              <w:top w:type="dxa" w:w="100"/>
              <w:left w:type="dxa" w:w="120"/>
              <w:bottom w:type="dxa" w:w="100"/>
              <w:right w:type="dxa" w:w="120"/>
            </w:tcMar>
            <w:vAlign w:val="center"/>
          </w:tcPr>
          <w:p>
            <w:r>
              <w:rPr>
                <w:b w:val="false"/>
                <w:bCs w:val="false"/>
                <w:color w:val="1F2937"/>
                <w:sz w:val="19"/>
                <w:szCs w:val="19"/>
              </w:rPr>
              <w:t xml:space="preserve">Combineren; de keuze tegen de drijvers</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30–32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3:55–4:00</w:t>
            </w:r>
          </w:p>
        </w:tc>
        <w:tc>
          <w:tcPr>
            <w:tcW w:type="dxa" w:w="4600"/>
            <w:tcMar>
              <w:top w:type="dxa" w:w="100"/>
              <w:left w:type="dxa" w:w="120"/>
              <w:bottom w:type="dxa" w:w="100"/>
              <w:right w:type="dxa" w:w="120"/>
            </w:tcMar>
            <w:vAlign w:val="center"/>
          </w:tcPr>
          <w:p>
            <w:r>
              <w:rPr>
                <w:b w:val="false"/>
                <w:bCs w:val="false"/>
                <w:color w:val="1F2937"/>
                <w:sz w:val="19"/>
                <w:szCs w:val="19"/>
              </w:rPr>
              <w:t xml:space="preserve">Vooruitblik deel 5, huiswerk</w:t>
            </w:r>
          </w:p>
        </w:tc>
        <w:tc>
          <w:tcPr>
            <w:tcW w:type="dxa" w:w="22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34–35</w:t>
            </w:r>
          </w:p>
        </w:tc>
      </w:tr>
    </w:tbl>
    <w:p>
      <w:pPr>
        <w:spacing w:after="300"/>
      </w:pPr>
    </w:p>
    <w:p>
      <w:pPr>
        <w:spacing w:after="160" w:line="276"/>
      </w:pPr>
      <w:r>
        <w:rPr>
          <w:b/>
          <w:bCs/>
          <w:color w:val="1F2937"/>
          <w:sz w:val="22"/>
          <w:szCs w:val="22"/>
        </w:rPr>
        <w:t xml:space="preserve">Opdracht 4.5 (het rollenspel) staat niet in de planning </w:t>
      </w:r>
      <w:r>
        <w:rPr>
          <w:color w:val="1F2937"/>
          <w:sz w:val="22"/>
          <w:szCs w:val="22"/>
        </w:rPr>
        <w:t xml:space="preserve">en is de belangrijkste keuzeoptie. Overwegingen:</w:t>
      </w:r>
    </w:p>
    <w:p>
      <w:pPr>
        <w:pStyle w:val="ListParagraph"/>
        <w:numPr>
          <w:ilvl w:val="0"/>
          <w:numId w:val="2"/>
        </w:numPr>
        <w:spacing w:after="100"/>
      </w:pPr>
      <w:r>
        <w:rPr>
          <w:b/>
          <w:bCs/>
          <w:color w:val="1F2937"/>
          <w:sz w:val="22"/>
          <w:szCs w:val="22"/>
        </w:rPr>
        <w:t xml:space="preserve">Doe 4.5 als de groep de hexagonale keuze te makkelijk overneemt.</w:t>
      </w:r>
      <w:r>
        <w:rPr>
          <w:color w:val="1F2937"/>
          <w:sz w:val="22"/>
          <w:szCs w:val="22"/>
        </w:rPr>
        <w:t xml:space="preserve"> Dat gebeurt vaak: de stijl klinkt modern, de reader beargumenteert hem, iedereen knikt. Het rollenspel is het enige moment waarop de keuze werkelijk onder druk komt. Vervang dan opdracht 4.2 (open/gesloten) door een plenaire behandeling van tien minuten.</w:t>
      </w:r>
    </w:p>
    <w:p>
      <w:pPr>
        <w:pStyle w:val="ListParagraph"/>
        <w:numPr>
          <w:ilvl w:val="0"/>
          <w:numId w:val="2"/>
        </w:numPr>
        <w:spacing w:after="100"/>
      </w:pPr>
      <w:r>
        <w:rPr>
          <w:b/>
          <w:bCs/>
          <w:color w:val="1F2937"/>
          <w:sz w:val="22"/>
          <w:szCs w:val="22"/>
        </w:rPr>
        <w:t xml:space="preserve">Sla 4.5 over bij groepen met veel scepsis,</w:t>
      </w:r>
      <w:r>
        <w:rPr>
          <w:color w:val="1F2937"/>
          <w:sz w:val="22"/>
          <w:szCs w:val="22"/>
        </w:rPr>
        <w:t xml:space="preserve"> waar de tegenargumenten toch al de hele ochtend op tafel liggen. Dan is 4.2 waardevoller.</w:t>
      </w:r>
    </w:p>
    <w:p>
      <w:pPr>
        <w:pStyle w:val="ListParagraph"/>
        <w:numPr>
          <w:ilvl w:val="0"/>
          <w:numId w:val="2"/>
        </w:numPr>
        <w:spacing w:after="100"/>
      </w:pPr>
      <w:r>
        <w:rPr>
          <w:b/>
          <w:bCs/>
          <w:color w:val="1F2937"/>
          <w:sz w:val="22"/>
          <w:szCs w:val="22"/>
        </w:rPr>
        <w:t xml:space="preserve">Bij 4,5 uur:</w:t>
      </w:r>
      <w:r>
        <w:rPr>
          <w:color w:val="1F2937"/>
          <w:sz w:val="22"/>
          <w:szCs w:val="22"/>
        </w:rPr>
        <w:t xml:space="preserve"> doe beide, en kort opdracht 4.4 in tot alleen onderdeel d) (de rekensom).</w:t>
      </w:r>
    </w:p>
    <w:p>
      <w:pPr>
        <w:spacing w:after="160" w:line="276"/>
      </w:pPr>
      <w:r>
        <w:rPr>
          <w:b/>
          <w:bCs/>
          <w:color w:val="1F2937"/>
          <w:sz w:val="22"/>
          <w:szCs w:val="22"/>
        </w:rPr>
        <w:t xml:space="preserve">Wat u nooit inkort: </w:t>
      </w:r>
      <w:r>
        <w:rPr>
          <w:color w:val="1F2937"/>
          <w:sz w:val="22"/>
          <w:szCs w:val="22"/>
        </w:rPr>
        <w:t xml:space="preserve">opdracht 4.3 en onderdeel d) van 4.4.</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Wat is een stijl (slides 3–8)</w:t>
      </w:r>
    </w:p>
    <w:p>
      <w:pPr>
        <w:spacing w:after="160" w:line="276"/>
      </w:pPr>
      <w:r>
        <w:rPr>
          <w:color w:val="1F2937"/>
          <w:sz w:val="22"/>
          <w:szCs w:val="22"/>
        </w:rPr>
        <w:t xml:space="preserve">Houd het begrippenkader kort. De reikwijdte-tabel is genoeg; de taxonomiediscussie is onvruchtbaar en het examen vraagt hem niet in die vorm.</w:t>
      </w:r>
    </w:p>
    <w:p>
      <w:pPr>
        <w:spacing w:after="160" w:line="276"/>
      </w:pPr>
      <w:r>
        <w:rPr>
          <w:b/>
          <w:bCs/>
          <w:color w:val="1F2937"/>
          <w:sz w:val="22"/>
          <w:szCs w:val="22"/>
        </w:rPr>
        <w:t xml:space="preserve">Slide 5 en 7 zijn de twee zinnen die blijven hangen. </w:t>
      </w:r>
      <w:r>
        <w:rPr>
          <w:color w:val="1F2937"/>
          <w:sz w:val="22"/>
          <w:szCs w:val="22"/>
        </w:rPr>
        <w:t xml:space="preserve">Vooral vraag 4 uit het beoordelingskader (wat kost halfheid) is nieuw voor vrijwel iedereen. Introduceer hem met het voorbeeld uit de reader: drie van dertig componenten die de laagregels overtreden is hinderlijk; een domeinkern die "even" de database aanspreekt maakt de hele hexagonale opzet waardeloos.</w:t>
      </w:r>
    </w:p>
    <w:p>
      <w:pPr>
        <w:spacing w:after="160" w:line="276"/>
      </w:pPr>
      <w:r>
        <w:rPr>
          <w:b/>
          <w:bCs/>
          <w:color w:val="1F2937"/>
          <w:sz w:val="22"/>
          <w:szCs w:val="22"/>
        </w:rPr>
        <w:t xml:space="preserve">Opdracht 4.1 </w:t>
      </w:r>
      <w:r>
        <w:rPr>
          <w:color w:val="1F2937"/>
          <w:sz w:val="22"/>
          <w:szCs w:val="22"/>
        </w:rPr>
        <w:t xml:space="preserve">kort houden: 5 minuten individueel, 5 plenair. Bespreek alleen 11 en 12 (de omstreden gevallen) plus 8 (outbox — de meesten kennen hem niet; kondig aan dat hij in deel 5 en in niveau 2 terugkomt).</w:t>
      </w:r>
    </w:p>
    <w:p>
      <w:pPr>
        <w:pStyle w:val="Heading2"/>
        <w:spacing w:after="140" w:before="260"/>
      </w:pPr>
      <w:r>
        <w:rPr>
          <w:b/>
          <w:bCs/>
          <w:color w:val="4A6789"/>
          <w:sz w:val="24"/>
          <w:szCs w:val="24"/>
        </w:rPr>
        <w:t xml:space="preserve">3.2 De gelaagde stijl (slides 9–13)</w:t>
      </w:r>
    </w:p>
    <w:p>
      <w:pPr>
        <w:spacing w:after="160" w:line="276"/>
      </w:pPr>
      <w:r>
        <w:rPr>
          <w:b/>
          <w:bCs/>
          <w:color w:val="1F2937"/>
          <w:sz w:val="22"/>
          <w:szCs w:val="22"/>
        </w:rPr>
        <w:t xml:space="preserve">Verval niet in het afkraken van lagen. </w:t>
      </w:r>
      <w:r>
        <w:rPr>
          <w:color w:val="1F2937"/>
          <w:sz w:val="22"/>
          <w:szCs w:val="22"/>
        </w:rPr>
        <w:t xml:space="preserve">De groep verwacht dat, omdat de opbouw van het dagdeel naar hexagonaal toe werkt. Weersta dat: de gelaagde stijl is de meest toegepaste stijl ter wereld, hij werkt in veel situaties prima, en hij wint in opdracht 3.3 op de wijziging "vervang de kernadministratie". Een cursus die stijlen als mode presenteert, leert precies de fout die B4 veroorzaakte.</w:t>
      </w:r>
    </w:p>
    <w:p>
      <w:pPr>
        <w:spacing w:after="160" w:line="276"/>
      </w:pPr>
      <w:r>
        <w:rPr>
          <w:b/>
          <w:bCs/>
          <w:color w:val="1F2937"/>
          <w:sz w:val="22"/>
          <w:szCs w:val="22"/>
        </w:rPr>
        <w:t xml:space="preserve">Slide 11 is het belangrijkste punt van dit blok: </w:t>
      </w:r>
      <w:r>
        <w:rPr>
          <w:color w:val="1F2937"/>
          <w:sz w:val="22"/>
          <w:szCs w:val="22"/>
        </w:rPr>
        <w:t xml:space="preserve">het probleem is zelden de keuze tussen open en gesloten, maar de afwezigheid van een keuze. Vraag de groep: wie kan uit het hoofd zeggen of in uw systeem lagen mogen worden overgeslagen? Er gaan zelden handen omhoog.</w:t>
      </w:r>
    </w:p>
    <w:p>
      <w:pPr>
        <w:spacing w:after="160" w:line="276"/>
      </w:pPr>
      <w:r>
        <w:rPr>
          <w:b/>
          <w:bCs/>
          <w:color w:val="1F2937"/>
          <w:sz w:val="22"/>
          <w:szCs w:val="22"/>
        </w:rPr>
        <w:t xml:space="preserve">Slide 12, de omgekeerde afhankelijkheid, </w:t>
      </w:r>
      <w:r>
        <w:rPr>
          <w:color w:val="1F2937"/>
          <w:sz w:val="22"/>
          <w:szCs w:val="22"/>
        </w:rPr>
        <w:t xml:space="preserve">is de brug naar hexagonaal. Formuleer hem als het reglementsargument: de reglementslogica van Meridiaan verandert als de wet of het reglement verandert; de opslag verandert als de techniek verandert. De stabiele partij hangt af van de instabiele. Laat dat even staan voordat u naar de volgende stijl gaat.</w:t>
      </w:r>
    </w:p>
    <w:p>
      <w:pPr>
        <w:pStyle w:val="Heading2"/>
        <w:spacing w:after="140" w:before="260"/>
      </w:pPr>
      <w:r>
        <w:rPr>
          <w:b/>
          <w:bCs/>
          <w:color w:val="4A6789"/>
          <w:sz w:val="24"/>
          <w:szCs w:val="24"/>
        </w:rPr>
        <w:t xml:space="preserve">3.3 Opdracht 4.2 (20 minuten)</w:t>
      </w:r>
    </w:p>
    <w:p>
      <w:pPr>
        <w:spacing w:after="160" w:line="276"/>
      </w:pPr>
      <w:r>
        <w:rPr>
          <w:color w:val="1F2937"/>
          <w:sz w:val="22"/>
          <w:szCs w:val="22"/>
        </w:rPr>
        <w:t xml:space="preserve">15 minuten werken, 5 plenair. Bespreek vooral onderdeel c).</w:t>
      </w:r>
    </w:p>
    <w:p>
      <w:pPr>
        <w:spacing w:after="160" w:line="276"/>
      </w:pPr>
      <w:r>
        <w:rPr>
          <w:b/>
          <w:bCs/>
          <w:color w:val="1F2937"/>
          <w:sz w:val="22"/>
          <w:szCs w:val="22"/>
        </w:rPr>
        <w:t xml:space="preserve">De interventie die u paraat moet hebben: </w:t>
      </w:r>
      <w:r>
        <w:rPr>
          <w:color w:val="1F2937"/>
          <w:sz w:val="22"/>
          <w:szCs w:val="22"/>
        </w:rPr>
        <w:t xml:space="preserve">duo's die schrijven "in principe gesloten, tenzij het niet anders kan". Dat is geen regel maar een vrijbrief, en het is precies wat er in Mutatie 1.0 gebeurde. Toets elke inzending met: kan een ontwikkelaar hem morgen toepassen zonder u te bellen?</w:t>
      </w:r>
    </w:p>
    <w:p>
      <w:pPr>
        <w:spacing w:after="160" w:line="276"/>
      </w:pPr>
      <w:r>
        <w:rPr>
          <w:color w:val="1F2937"/>
          <w:sz w:val="22"/>
          <w:szCs w:val="22"/>
        </w:rPr>
        <w:t xml:space="preserve">De variant met een expliciet benoemd leesmodel (pure leesacties mogen rechtstreeks) is de beste inzending en is bovendien de opmaat naar CQRS in niveau 2. Als een duo hem vindt, benoem dat.</w:t>
      </w:r>
    </w:p>
    <w:p>
      <w:pPr>
        <w:pStyle w:val="Heading2"/>
        <w:spacing w:after="140" w:before="260"/>
      </w:pPr>
      <w:r>
        <w:rPr>
          <w:b/>
          <w:bCs/>
          <w:color w:val="4A6789"/>
          <w:sz w:val="24"/>
          <w:szCs w:val="24"/>
        </w:rPr>
        <w:t xml:space="preserve">3.4 Hexagonale architectuur (slides 14–20, 30 minuten)</w:t>
      </w:r>
    </w:p>
    <w:p>
      <w:pPr>
        <w:spacing w:after="160" w:line="276"/>
      </w:pPr>
      <w:r>
        <w:rPr>
          <w:b/>
          <w:bCs/>
          <w:color w:val="1F2937"/>
          <w:sz w:val="22"/>
          <w:szCs w:val="22"/>
        </w:rPr>
        <w:t xml:space="preserve">Begin met de omkering, niet met het plaatje. </w:t>
      </w:r>
      <w:r>
        <w:rPr>
          <w:color w:val="1F2937"/>
          <w:sz w:val="22"/>
          <w:szCs w:val="22"/>
        </w:rPr>
        <w:t xml:space="preserve">Het hexagoon is een tekening; de inhoud is de richting van de afhankelijkheid. Deelnemers die het plaatje eerst zien, onthouden een zeshoek en niet het principe.</w:t>
      </w:r>
    </w:p>
    <w:p>
      <w:pPr>
        <w:spacing w:after="160" w:line="276"/>
      </w:pPr>
      <w:r>
        <w:rPr>
          <w:b/>
          <w:bCs/>
          <w:color w:val="1F2937"/>
          <w:sz w:val="22"/>
          <w:szCs w:val="22"/>
        </w:rPr>
        <w:t xml:space="preserve">De sterkste didactische zet: </w:t>
      </w:r>
      <w:r>
        <w:rPr>
          <w:color w:val="1F2937"/>
          <w:sz w:val="22"/>
          <w:szCs w:val="22"/>
        </w:rPr>
        <w:t xml:space="preserve">verwijs terug naar het contract dat de groep in opdracht 3.4 zelf heeft geschreven ("een mutatie wordt uiteindelijk precies één keer doorgegeven"). Zeg: dat is een aangedreven poort. U hebt vorige week hexagonaal ontworpen zonder de naam te kennen. Dat werkt beter dan welke uitleg ook, en het maakt de stijl minder exotisch.</w:t>
      </w:r>
    </w:p>
    <w:p>
      <w:pPr>
        <w:spacing w:after="160" w:line="276"/>
      </w:pPr>
      <w:r>
        <w:rPr>
          <w:b/>
          <w:bCs/>
          <w:color w:val="1F2937"/>
          <w:sz w:val="22"/>
          <w:szCs w:val="22"/>
        </w:rPr>
        <w:t xml:space="preserve">Slide 17 — drie kanalen, één domeinbewerking — </w:t>
      </w:r>
      <w:r>
        <w:rPr>
          <w:color w:val="1F2937"/>
          <w:sz w:val="22"/>
          <w:szCs w:val="22"/>
        </w:rPr>
        <w:t xml:space="preserve">is de praktische winst die deze doelgroep het meest aanspreekt. In Mutatie 1.0 hadden portaal, behandelaarsscherm en batch elk hun eigen verwerkingslogica, met als gevolg dat dezelfde mutatie via verschillende kanalen anders werd behandeld. Dat is voor pensioenuitvoerders een compliance-probleem, niet alleen een onderhoudsprobleem. Zeg dat erbij.</w:t>
      </w:r>
    </w:p>
    <w:p>
      <w:pPr>
        <w:spacing w:after="160" w:line="276"/>
      </w:pPr>
      <w:r>
        <w:rPr>
          <w:b/>
          <w:bCs/>
          <w:color w:val="1F2937"/>
          <w:sz w:val="22"/>
          <w:szCs w:val="22"/>
        </w:rPr>
        <w:t xml:space="preserve">Valkuil: </w:t>
      </w:r>
      <w:r>
        <w:rPr>
          <w:color w:val="1F2937"/>
          <w:sz w:val="22"/>
          <w:szCs w:val="22"/>
        </w:rPr>
        <w:t xml:space="preserve">de clean/onion-discussie. Iemand vraagt gegarandeerd naar het verschil. Houd het bij: dezelfde omkering, andere ringen en namen; kies één vocabulaire per systeem. Ga niet in op de details van Martin's ringen — dat kost tien minuten en levert niets op.</w:t>
      </w:r>
    </w:p>
    <w:p>
      <w:pPr>
        <w:pStyle w:val="Heading2"/>
        <w:spacing w:after="140" w:before="260"/>
      </w:pPr>
      <w:r>
        <w:rPr>
          <w:b/>
          <w:bCs/>
          <w:color w:val="4A6789"/>
          <w:sz w:val="24"/>
          <w:szCs w:val="24"/>
        </w:rPr>
        <w:t xml:space="preserve">3.5 Opdracht 4.3 — het zwaartepunt (40 minuten)</w:t>
      </w:r>
    </w:p>
    <w:p>
      <w:pPr>
        <w:spacing w:after="160" w:line="276"/>
      </w:pPr>
      <w:r>
        <w:rPr>
          <w:b/>
          <w:bCs/>
          <w:color w:val="1F2937"/>
          <w:sz w:val="22"/>
          <w:szCs w:val="22"/>
        </w:rPr>
        <w:t xml:space="preserve">Uitvoering. </w:t>
      </w:r>
      <w:r>
        <w:rPr>
          <w:color w:val="1F2937"/>
          <w:sz w:val="22"/>
          <w:szCs w:val="22"/>
        </w:rPr>
        <w:t xml:space="preserve">Grote vellen. Groepen van vier. 30 minuten werken, 10 plenair.</w:t>
      </w:r>
    </w:p>
    <w:p>
      <w:pPr>
        <w:spacing w:after="160" w:line="276"/>
      </w:pPr>
      <w:r>
        <w:rPr>
          <w:color w:val="1F2937"/>
          <w:sz w:val="22"/>
          <w:szCs w:val="22"/>
        </w:rPr>
        <w:t xml:space="preserve">Vier interventies:</w:t>
      </w:r>
    </w:p>
    <w:p>
      <w:pPr>
        <w:pStyle w:val="ListParagraph"/>
        <w:numPr>
          <w:ilvl w:val="0"/>
          <w:numId w:val="3"/>
        </w:numPr>
        <w:spacing w:after="120"/>
      </w:pPr>
      <w:r>
        <w:rPr>
          <w:b/>
          <w:bCs/>
          <w:color w:val="1F2937"/>
          <w:sz w:val="22"/>
          <w:szCs w:val="22"/>
        </w:rPr>
        <w:t xml:space="preserve">De kern wordt te groot.</w:t>
      </w:r>
      <w:r>
        <w:rPr>
          <w:color w:val="1F2937"/>
          <w:sz w:val="22"/>
          <w:szCs w:val="22"/>
        </w:rPr>
        <w:t xml:space="preserve"> Standaardfout: het hele statusoverzicht in de kern. Herhaal de toets uit onderdeel a): zou dit er ook zijn als we het op papier deden? Statusovergangen ja, schermopmaak nee.</w:t>
      </w:r>
    </w:p>
    <w:p>
      <w:pPr>
        <w:pStyle w:val="ListParagraph"/>
        <w:numPr>
          <w:ilvl w:val="0"/>
          <w:numId w:val="3"/>
        </w:numPr>
        <w:spacing w:after="120"/>
      </w:pPr>
      <w:r>
        <w:rPr>
          <w:b/>
          <w:bCs/>
          <w:color w:val="1F2937"/>
          <w:sz w:val="22"/>
          <w:szCs w:val="22"/>
        </w:rPr>
        <w:t xml:space="preserve">Poorten in techniektaal.</w:t>
      </w:r>
      <w:r>
        <w:rPr>
          <w:color w:val="1F2937"/>
          <w:sz w:val="22"/>
          <w:szCs w:val="22"/>
        </w:rPr>
        <w:t xml:space="preserve"> Een groep die haalDeelnemerUitSoap() schrijft, heeft de lektest uit deel 3 niet toegepast. Verwijs er expliciet naar.</w:t>
      </w:r>
    </w:p>
    <w:p>
      <w:pPr>
        <w:pStyle w:val="ListParagraph"/>
        <w:numPr>
          <w:ilvl w:val="0"/>
          <w:numId w:val="3"/>
        </w:numPr>
        <w:spacing w:after="120"/>
      </w:pPr>
      <w:r>
        <w:rPr>
          <w:b/>
          <w:bCs/>
          <w:color w:val="1F2937"/>
          <w:sz w:val="22"/>
          <w:szCs w:val="22"/>
        </w:rPr>
        <w:t xml:space="preserve">Een pijl van de kern naar buiten.</w:t>
      </w:r>
      <w:r>
        <w:rPr>
          <w:color w:val="1F2937"/>
          <w:sz w:val="22"/>
          <w:szCs w:val="22"/>
        </w:rPr>
        <w:t xml:space="preserve"> Zeer gebruikelijk, want intuïtief roept het domein de kernadministratie aan. Teken de poort dan expliciet als apart element op de rand: het domein roept de poort aan die het zelf definieert; de adapter implementeert die poort en hangt dus van de kern af. Als dit niet landt, is de rest van de stijl niet begrepen — besteed er tijd aan.</w:t>
      </w:r>
    </w:p>
    <w:p>
      <w:pPr>
        <w:pStyle w:val="ListParagraph"/>
        <w:numPr>
          <w:ilvl w:val="0"/>
          <w:numId w:val="3"/>
        </w:numPr>
        <w:spacing w:after="120"/>
      </w:pPr>
      <w:r>
        <w:rPr>
          <w:b/>
          <w:bCs/>
          <w:color w:val="1F2937"/>
          <w:sz w:val="22"/>
          <w:szCs w:val="22"/>
        </w:rPr>
        <w:t xml:space="preserve">Groep slaat onderdeel e) over wegens tijd.</w:t>
      </w:r>
      <w:r>
        <w:rPr>
          <w:color w:val="1F2937"/>
          <w:sz w:val="22"/>
          <w:szCs w:val="22"/>
        </w:rPr>
        <w:t xml:space="preserve"> Voorkom dat: e) is de beste discussie van het dagdeel.</w:t>
      </w:r>
    </w:p>
    <w:p>
      <w:pPr>
        <w:spacing w:after="160" w:line="276"/>
      </w:pPr>
      <w:r>
        <w:rPr>
          <w:b/>
          <w:bCs/>
          <w:color w:val="1F2937"/>
          <w:sz w:val="22"/>
          <w:szCs w:val="22"/>
        </w:rPr>
        <w:t xml:space="preserve">Plenair. </w:t>
      </w:r>
      <w:r>
        <w:rPr>
          <w:color w:val="1F2937"/>
          <w:sz w:val="22"/>
          <w:szCs w:val="22"/>
        </w:rPr>
        <w:t xml:space="preserve">Bespreek de contracten (c) kort, en besteed de meeste tijd aan e) — de reglementslogica die per werkgever uit een tabel komt.</w:t>
      </w:r>
    </w:p>
    <w:p>
      <w:pPr>
        <w:spacing w:after="160" w:line="276"/>
      </w:pPr>
      <w:r>
        <w:rPr>
          <w:color w:val="1F2937"/>
          <w:sz w:val="22"/>
          <w:szCs w:val="22"/>
        </w:rPr>
        <w:t xml:space="preserve">Laat twee groepen met verschillende antwoorden hun keuze verdedigen. Er is geen enkel juist antwoord; de drie posities uit de uitwerking zijn alle drie verdedigbaar.</w:t>
      </w:r>
    </w:p>
    <w:p>
      <w:pPr>
        <w:spacing w:after="160" w:line="276"/>
      </w:pPr>
      <w:r>
        <w:rPr>
          <w:b/>
          <w:bCs/>
          <w:color w:val="1F2937"/>
          <w:sz w:val="22"/>
          <w:szCs w:val="22"/>
        </w:rPr>
        <w:t xml:space="preserve">De vraag die het onderscheid maakt is: wie is eigenaar van de regel, en om welke reden verandert hij? </w:t>
      </w:r>
      <w:r>
        <w:rPr>
          <w:color w:val="1F2937"/>
          <w:sz w:val="22"/>
          <w:szCs w:val="22"/>
        </w:rPr>
        <w:t xml:space="preserve">Dat is de cohesietoets uit deel 3, nu op stijlniveau. Als een groep die koppeling zelf legt, benoem dat als het beste moment van de dag — het is het teken dat de cursuslijn werkt.</w:t>
      </w:r>
    </w:p>
    <w:p>
      <w:pPr>
        <w:spacing w:after="160" w:line="276"/>
      </w:pPr>
      <w:r>
        <w:rPr>
          <w:b/>
          <w:bCs/>
          <w:color w:val="1F2937"/>
          <w:sz w:val="22"/>
          <w:szCs w:val="22"/>
        </w:rPr>
        <w:t xml:space="preserve">Vergeet de tijdpoort niet </w:t>
      </w:r>
      <w:r>
        <w:rPr>
          <w:color w:val="1F2937"/>
          <w:sz w:val="22"/>
          <w:szCs w:val="22"/>
        </w:rPr>
        <w:t xml:space="preserve">bij de bespreking van c). Dat het domein niet rechtstreeks de systeemklok mag lezen, verrast de meesten, en het is voor pensioenuitvoering een reëel testbaarheidsprobleem: peildatumlogica die je niet kunt testen zonder de klok te manipuleren.</w:t>
      </w:r>
    </w:p>
    <w:p>
      <w:pPr>
        <w:pStyle w:val="Heading2"/>
        <w:spacing w:after="140" w:before="260"/>
      </w:pPr>
      <w:r>
        <w:rPr>
          <w:b/>
          <w:bCs/>
          <w:color w:val="4A6789"/>
          <w:sz w:val="24"/>
          <w:szCs w:val="24"/>
        </w:rPr>
        <w:t xml:space="preserve">3.6 Pipes &amp; filters en opdracht 4.4 (slides 22–29, 45 minuten)</w:t>
      </w:r>
    </w:p>
    <w:p>
      <w:pPr>
        <w:spacing w:after="160" w:line="276"/>
      </w:pPr>
      <w:r>
        <w:rPr>
          <w:b/>
          <w:bCs/>
          <w:color w:val="1F2937"/>
          <w:sz w:val="22"/>
          <w:szCs w:val="22"/>
        </w:rPr>
        <w:t xml:space="preserve">Houd de stijluitleg kort </w:t>
      </w:r>
      <w:r>
        <w:rPr>
          <w:color w:val="1F2937"/>
          <w:sz w:val="22"/>
          <w:szCs w:val="22"/>
        </w:rPr>
        <w:t xml:space="preserve">(10 minuten). De stijl is intuïtief; de tijd zit in de foutstrategie en de rekensom.</w:t>
      </w:r>
    </w:p>
    <w:p>
      <w:pPr>
        <w:spacing w:after="160" w:line="276"/>
      </w:pPr>
      <w:r>
        <w:rPr>
          <w:b/>
          <w:bCs/>
          <w:color w:val="1F2937"/>
          <w:sz w:val="22"/>
          <w:szCs w:val="22"/>
        </w:rPr>
        <w:t xml:space="preserve">Slide 25–26 (foutstrategie). </w:t>
      </w:r>
      <w:r>
        <w:rPr>
          <w:color w:val="1F2937"/>
          <w:sz w:val="22"/>
          <w:szCs w:val="22"/>
        </w:rPr>
        <w:t xml:space="preserve">Dit is waar de stijl in de praktijk sneuvelt. Vraag de groep welke van de drie opties zij zouden kiezen voordat u de nuances geeft; er ontstaat vanzelf discussie over de drempel (wat als 2.000 van de 4.000 uitvallen?) en over wie het uitvalbestand opent.</w:t>
      </w:r>
    </w:p>
    <w:p>
      <w:pPr>
        <w:spacing w:after="160" w:line="276"/>
      </w:pPr>
      <w:r>
        <w:rPr>
          <w:b/>
          <w:bCs/>
          <w:color w:val="1F2937"/>
          <w:sz w:val="22"/>
          <w:szCs w:val="22"/>
        </w:rPr>
        <w:t xml:space="preserve">Onderdeel d) van opdracht 4.4 is het beste moment van het dagdeel. </w:t>
      </w:r>
      <w:r>
        <w:rPr>
          <w:color w:val="1F2937"/>
          <w:sz w:val="22"/>
          <w:szCs w:val="22"/>
        </w:rPr>
        <w:t xml:space="preserve">Bereid het zorgvuldig voor:</w:t>
      </w:r>
    </w:p>
    <w:p>
      <w:pPr>
        <w:pStyle w:val="ListParagraph"/>
        <w:numPr>
          <w:ilvl w:val="0"/>
          <w:numId w:val="2"/>
        </w:numPr>
        <w:spacing w:after="100"/>
      </w:pPr>
      <w:r>
        <w:rPr>
          <w:color w:val="1F2937"/>
          <w:sz w:val="22"/>
          <w:szCs w:val="22"/>
        </w:rPr>
        <w:t xml:space="preserve">Laat de groep eerst raden of het past. De meerderheid zegt nee, omdat de limiet van 20 per seconde in deel 2 als ernstige beperking is neergezet.</w:t>
      </w:r>
    </w:p>
    <w:p>
      <w:pPr>
        <w:pStyle w:val="ListParagraph"/>
        <w:numPr>
          <w:ilvl w:val="0"/>
          <w:numId w:val="2"/>
        </w:numPr>
        <w:spacing w:after="100"/>
      </w:pPr>
      <w:r>
        <w:rPr>
          <w:color w:val="1F2937"/>
          <w:sz w:val="22"/>
          <w:szCs w:val="22"/>
        </w:rPr>
        <w:t xml:space="preserve">Laat ze dan rekenen: 4.000 ÷ 20 = 200 seconden.</w:t>
      </w:r>
    </w:p>
    <w:p>
      <w:pPr>
        <w:pStyle w:val="ListParagraph"/>
        <w:numPr>
          <w:ilvl w:val="0"/>
          <w:numId w:val="2"/>
        </w:numPr>
        <w:spacing w:after="100"/>
      </w:pPr>
      <w:r>
        <w:rPr>
          <w:b/>
          <w:bCs/>
          <w:color w:val="1F2937"/>
          <w:sz w:val="22"/>
          <w:szCs w:val="22"/>
        </w:rPr>
        <w:t xml:space="preserve">Slide 29 maakt het punt: </w:t>
      </w:r>
      <w:r>
        <w:rPr>
          <w:color w:val="1F2937"/>
          <w:sz w:val="22"/>
          <w:szCs w:val="22"/>
        </w:rPr>
        <w:t xml:space="preserve">dezelfde randvoorwaarde is beslissend in het ene scenario en irrelevant in het andere.</w:t>
      </w:r>
    </w:p>
    <w:p>
      <w:pPr>
        <w:spacing w:after="160" w:line="276"/>
      </w:pPr>
      <w:r>
        <w:rPr>
          <w:color w:val="1F2937"/>
          <w:sz w:val="22"/>
          <w:szCs w:val="22"/>
        </w:rPr>
        <w:t xml:space="preserve">Dit is de sterkste illustratie in het hele niveau van waarom een kwaliteitsscenario een omgeving bevat. Deelnemers die dit meenemen, ontwerpen de batch niet alsof hij het interactieve probleem heeft.</w:t>
      </w:r>
    </w:p>
    <w:p>
      <w:pPr>
        <w:spacing w:after="160" w:line="276"/>
      </w:pPr>
      <w:r>
        <w:rPr>
          <w:b/>
          <w:bCs/>
          <w:color w:val="1F2937"/>
          <w:sz w:val="22"/>
          <w:szCs w:val="22"/>
        </w:rPr>
        <w:t xml:space="preserve">Als een groep opmerkt dat 400.000 records niet zouden passen: </w:t>
      </w:r>
      <w:r>
        <w:rPr>
          <w:color w:val="1F2937"/>
          <w:sz w:val="22"/>
          <w:szCs w:val="22"/>
        </w:rPr>
        <w:t xml:space="preserve">goed opgemerkt, en de vraag die u dan stelt is welke oplossing de goedkoopste is. Bijna niemand noemt "met de leverancier onderhandelen over een bulkinterface", terwijl dat meestal het antwoord is. Architectuur is niet altijd bouwen.</w:t>
      </w:r>
    </w:p>
    <w:p>
      <w:pPr>
        <w:pStyle w:val="Heading2"/>
        <w:spacing w:after="140" w:before="260"/>
      </w:pPr>
      <w:r>
        <w:rPr>
          <w:b/>
          <w:bCs/>
          <w:color w:val="4A6789"/>
          <w:sz w:val="24"/>
          <w:szCs w:val="24"/>
        </w:rPr>
        <w:t xml:space="preserve">3.7 Combineren en de keuze (slides 30–32)</w:t>
      </w:r>
    </w:p>
    <w:p>
      <w:pPr>
        <w:spacing w:after="160" w:line="276"/>
      </w:pPr>
      <w:r>
        <w:rPr>
          <w:b/>
          <w:bCs/>
          <w:color w:val="1F2937"/>
          <w:sz w:val="22"/>
          <w:szCs w:val="22"/>
        </w:rPr>
        <w:t xml:space="preserve">De regel op slide 31 </w:t>
      </w:r>
      <w:r>
        <w:rPr>
          <w:color w:val="1F2937"/>
          <w:sz w:val="22"/>
          <w:szCs w:val="22"/>
        </w:rPr>
        <w:t xml:space="preserve">— een stijl mag binnen een component van een andere stijl leven, niet ernaast op hetzelfde niveau — is kort maar belangrijk. Verbind hem met conceptual integrity uit deel 3: twee hoofdstijlen naast elkaar betekent dat iedereen bij elke wijziging eerst moet uitzoeken in welk deel van het systeem hij zit.</w:t>
      </w:r>
    </w:p>
    <w:p>
      <w:pPr>
        <w:spacing w:after="160" w:line="276"/>
      </w:pPr>
      <w:r>
        <w:rPr>
          <w:b/>
          <w:bCs/>
          <w:color w:val="1F2937"/>
          <w:sz w:val="22"/>
          <w:szCs w:val="22"/>
        </w:rPr>
        <w:t xml:space="preserve">Slide 32 (de keuze tegen de drijvers) </w:t>
      </w:r>
      <w:r>
        <w:rPr>
          <w:color w:val="1F2937"/>
          <w:sz w:val="22"/>
          <w:szCs w:val="22"/>
        </w:rPr>
        <w:t xml:space="preserve">moet u expliciet als vorm presenteren, niet alleen als uitkomst. De boodschap is: zo ziet een verdedigbare stijlkeuze eruit — een tabel van drijvers tegen kandidaten. Niet: hexagonaal is beter.</w:t>
      </w:r>
    </w:p>
    <w:p>
      <w:pPr>
        <w:pStyle w:val="Heading2"/>
        <w:spacing w:after="140" w:before="260"/>
      </w:pPr>
      <w:r>
        <w:rPr>
          <w:b/>
          <w:bCs/>
          <w:color w:val="4A6789"/>
          <w:sz w:val="24"/>
          <w:szCs w:val="24"/>
        </w:rPr>
        <w:t xml:space="preserve">3.8 Afsluiting (slides 34–35)</w:t>
      </w:r>
    </w:p>
    <w:p>
      <w:pPr>
        <w:spacing w:after="160" w:line="276"/>
      </w:pPr>
      <w:r>
        <w:rPr>
          <w:b/>
          <w:bCs/>
          <w:color w:val="1F2937"/>
          <w:sz w:val="22"/>
          <w:szCs w:val="22"/>
        </w:rPr>
        <w:t xml:space="preserve">Slide 34 is de brug naar deel 5 en de kern van dit deel. </w:t>
      </w:r>
      <w:r>
        <w:rPr>
          <w:color w:val="1F2937"/>
          <w:sz w:val="22"/>
          <w:szCs w:val="22"/>
        </w:rPr>
        <w:t xml:space="preserve">Zeg letterlijk: we hebben vandaag niets besloten over deployment. Of dit één applicatie wordt of elf, is een andere vraag met andere kosten. In Mutatie 1.0 zijn die twee vragen door elkaar gehaald, en dat is de reden dat B4 vandaag nog niet gesloten wordt.</w:t>
      </w:r>
    </w:p>
    <w:p>
      <w:pPr>
        <w:spacing w:after="160" w:line="276"/>
      </w:pPr>
      <w:r>
        <w:rPr>
          <w:color w:val="1F2937"/>
          <w:sz w:val="22"/>
          <w:szCs w:val="22"/>
        </w:rPr>
        <w:t xml:space="preserve">Benadruk in het huiswerk dat B4 bewust open blijft in het bevindingenregister. Deelnemers vinden dat ongemakkelijk en willen afvinken; leg uit waarom niet.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De groep wil naar microservices. </w:t>
      </w:r>
      <w:r>
        <w:rPr>
          <w:color w:val="1F2937"/>
          <w:sz w:val="22"/>
          <w:szCs w:val="22"/>
        </w:rPr>
        <w:t xml:space="preserve">Gegarandeerd, meestal binnen het eerste half uur en opnieuw bij opdracht 4.3. Parkeer consequent met de formulering uit paragraaf 1 van deze handleiding. Houd een parkeerlijst bij; in deel 5 opent u met precies die vragen, en dat werkt goed.</w:t>
      </w:r>
    </w:p>
    <w:p>
      <w:pPr>
        <w:spacing w:after="160" w:line="276"/>
      </w:pPr>
      <w:r>
        <w:rPr>
          <w:b/>
          <w:bCs/>
          <w:color w:val="1F2937"/>
          <w:sz w:val="22"/>
          <w:szCs w:val="22"/>
        </w:rPr>
        <w:t xml:space="preserve">"Wij gebruiken al clean architecture, is dit hetzelfde?" </w:t>
      </w:r>
      <w:r>
        <w:rPr>
          <w:color w:val="1F2937"/>
          <w:sz w:val="22"/>
          <w:szCs w:val="22"/>
        </w:rPr>
        <w:t xml:space="preserve">Ja, in de kern. Bevestig dat en gebruik het: laat die deelnemer beschrijven hoe het bij hen is ingericht, en toets het met de lektest en met vraag 4 (halfheid). In vier van de vijf gevallen blijkt de kern ergens toch een uitgaande afhankelijkheid te hebben. Dat is geen afgang maar de meest leerzame demonstratie van het dagdeel — behandel het respectvol.</w:t>
      </w:r>
    </w:p>
    <w:p>
      <w:pPr>
        <w:spacing w:after="160" w:line="276"/>
      </w:pPr>
      <w:r>
        <w:rPr>
          <w:b/>
          <w:bCs/>
          <w:color w:val="1F2937"/>
          <w:sz w:val="22"/>
          <w:szCs w:val="22"/>
        </w:rPr>
        <w:t xml:space="preserve">Een deelnemer vindt hexagonaal over-engineering. </w:t>
      </w:r>
      <w:r>
        <w:rPr>
          <w:color w:val="1F2937"/>
          <w:sz w:val="22"/>
          <w:szCs w:val="22"/>
        </w:rPr>
        <w:t xml:space="preserve">Neem dat serieus; het is vaak terecht. Het argument uit de reader: de stijl loont waar domeinlogica zit die het beschermen waard is, en is overhead bij opslag zonder regels. Vraag door naar hun systeem — als het inderdaad grotendeels CRUD is, hebben ze gelijk en moet u dat zeggen. De geloofwaardigheid die u daarmee wint, hebt u nodig in deel 5.</w:t>
      </w:r>
    </w:p>
    <w:p>
      <w:pPr>
        <w:spacing w:after="160" w:line="276"/>
      </w:pPr>
      <w:r>
        <w:rPr>
          <w:b/>
          <w:bCs/>
          <w:color w:val="1F2937"/>
          <w:sz w:val="22"/>
          <w:szCs w:val="22"/>
        </w:rPr>
        <w:t xml:space="preserve">De groep is klaar met Meridiaan. </w:t>
      </w:r>
      <w:r>
        <w:rPr>
          <w:color w:val="1F2937"/>
          <w:sz w:val="22"/>
          <w:szCs w:val="22"/>
        </w:rPr>
        <w:t xml:space="preserve">Rond dit deel begint casusmoeheid. Twee remedies: laat opdracht 4.6 (eigen systeem) uitgebreider terugkomen aan het begin van deel 5, en gebruik bij het hexagoon één voorbeeld uit een deelnemersorganisatie naast het casusvoorbeeld.</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4"/>
        </w:numPr>
        <w:spacing w:after="120"/>
      </w:pPr>
      <w:r>
        <w:rPr>
          <w:b/>
          <w:bCs/>
          <w:color w:val="1F2937"/>
          <w:sz w:val="22"/>
          <w:szCs w:val="22"/>
        </w:rPr>
        <w:t xml:space="preserve">Wie tekent in 4.3 een pijl vanuit de kern naar buiten en ziet het niet na correctie?</w:t>
      </w:r>
      <w:r>
        <w:rPr>
          <w:color w:val="1F2937"/>
          <w:sz w:val="22"/>
          <w:szCs w:val="22"/>
        </w:rPr>
        <w:t xml:space="preserve"> Heeft de omkering niet begrepen; dat wreekt zich in deel 7 (documentatie) en in niveau 2.</w:t>
      </w:r>
    </w:p>
    <w:p>
      <w:pPr>
        <w:pStyle w:val="ListParagraph"/>
        <w:numPr>
          <w:ilvl w:val="0"/>
          <w:numId w:val="4"/>
        </w:numPr>
        <w:spacing w:after="120"/>
      </w:pPr>
      <w:r>
        <w:rPr>
          <w:b/>
          <w:bCs/>
          <w:color w:val="1F2937"/>
          <w:sz w:val="22"/>
          <w:szCs w:val="22"/>
        </w:rPr>
        <w:t xml:space="preserve">Wie kiest hexagonaal zonder maatregel tegen halfheid (opdracht 4.7b)?</w:t>
      </w:r>
      <w:r>
        <w:rPr>
          <w:color w:val="1F2937"/>
          <w:sz w:val="22"/>
          <w:szCs w:val="22"/>
        </w:rPr>
        <w:t xml:space="preserve"> Levert in deel 10 een onverdedigbare capstone op. Dit is het meest voorspellende signaal van dit deel.</w:t>
      </w:r>
    </w:p>
    <w:p>
      <w:pPr>
        <w:pStyle w:val="ListParagraph"/>
        <w:numPr>
          <w:ilvl w:val="0"/>
          <w:numId w:val="4"/>
        </w:numPr>
        <w:spacing w:after="120"/>
      </w:pPr>
      <w:r>
        <w:rPr>
          <w:b/>
          <w:bCs/>
          <w:color w:val="1F2937"/>
          <w:sz w:val="22"/>
          <w:szCs w:val="22"/>
        </w:rPr>
        <w:t xml:space="preserve">Wie haalt in opdracht 4.4d de conclusie niet dat dezelfde randvoorwaarde in twee scenario's verschillend uitpakt?</w:t>
      </w:r>
      <w:r>
        <w:rPr>
          <w:color w:val="1F2937"/>
          <w:sz w:val="22"/>
          <w:szCs w:val="22"/>
        </w:rPr>
        <w:t xml:space="preserve"> Zal in deel 6 tactieken toepassen zonder scenario.</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2"/>
        </w:numPr>
        <w:spacing w:after="100"/>
      </w:pPr>
      <w:r>
        <w:rPr>
          <w:color w:val="1F2937"/>
          <w:sz w:val="22"/>
          <w:szCs w:val="22"/>
        </w:rPr>
        <w:t xml:space="preserve">Slidedeck deel 4</w:t>
      </w:r>
    </w:p>
    <w:p>
      <w:pPr>
        <w:pStyle w:val="ListParagraph"/>
        <w:numPr>
          <w:ilvl w:val="0"/>
          <w:numId w:val="2"/>
        </w:numPr>
        <w:spacing w:after="100"/>
      </w:pPr>
      <w:r>
        <w:rPr>
          <w:color w:val="1F2937"/>
          <w:sz w:val="22"/>
          <w:szCs w:val="22"/>
        </w:rPr>
        <w:t xml:space="preserve">Reader en werkboek, per deelnemer</w:t>
      </w:r>
    </w:p>
    <w:p>
      <w:pPr>
        <w:pStyle w:val="ListParagraph"/>
        <w:numPr>
          <w:ilvl w:val="0"/>
          <w:numId w:val="2"/>
        </w:numPr>
        <w:spacing w:after="100"/>
      </w:pPr>
      <w:r>
        <w:rPr>
          <w:color w:val="1F2937"/>
          <w:sz w:val="22"/>
          <w:szCs w:val="22"/>
        </w:rPr>
        <w:t xml:space="preserve">Bijlage J: functieoverzicht Mutatie 2.0</w:t>
      </w:r>
    </w:p>
    <w:p>
      <w:pPr>
        <w:pStyle w:val="ListParagraph"/>
        <w:numPr>
          <w:ilvl w:val="0"/>
          <w:numId w:val="2"/>
        </w:numPr>
        <w:spacing w:after="100"/>
      </w:pPr>
      <w:r>
        <w:rPr>
          <w:b/>
          <w:bCs/>
          <w:color w:val="1F2937"/>
          <w:sz w:val="22"/>
          <w:szCs w:val="22"/>
        </w:rPr>
        <w:t xml:space="preserve">Bijlage K:</w:t>
      </w:r>
      <w:r>
        <w:rPr>
          <w:color w:val="1F2937"/>
          <w:sz w:val="22"/>
          <w:szCs w:val="22"/>
        </w:rPr>
        <w:t xml:space="preserve"> drie architectuurschetsen van Mutatie 1.0 (componentbeeld, deploybeeld, gegevensbeeld) — het deploybeeld pas uitdelen in deel 5, anders loopt de discussie vooruit</w:t>
      </w:r>
    </w:p>
    <w:p>
      <w:pPr>
        <w:pStyle w:val="ListParagraph"/>
        <w:numPr>
          <w:ilvl w:val="0"/>
          <w:numId w:val="2"/>
        </w:numPr>
        <w:spacing w:after="100"/>
      </w:pPr>
      <w:r>
        <w:rPr>
          <w:color w:val="1F2937"/>
          <w:sz w:val="22"/>
          <w:szCs w:val="22"/>
        </w:rPr>
        <w:t xml:space="preserve">Bijlage L: stapsgewijze beschrijving van de nachtelijke werkgeversbatch</w:t>
      </w:r>
    </w:p>
    <w:p>
      <w:pPr>
        <w:pStyle w:val="ListParagraph"/>
        <w:numPr>
          <w:ilvl w:val="0"/>
          <w:numId w:val="2"/>
        </w:numPr>
        <w:spacing w:after="100"/>
      </w:pPr>
      <w:r>
        <w:rPr>
          <w:color w:val="1F2937"/>
          <w:sz w:val="22"/>
          <w:szCs w:val="22"/>
        </w:rPr>
        <w:t xml:space="preserve">Rolkaarten opdracht 4.5 (verdedigers, tegenstander met de drie argumenten, observator)</w:t>
      </w:r>
    </w:p>
    <w:p>
      <w:pPr>
        <w:pStyle w:val="ListParagraph"/>
        <w:numPr>
          <w:ilvl w:val="0"/>
          <w:numId w:val="2"/>
        </w:numPr>
        <w:spacing w:after="100"/>
      </w:pPr>
      <w:r>
        <w:rPr>
          <w:color w:val="1F2937"/>
          <w:sz w:val="22"/>
          <w:szCs w:val="22"/>
        </w:rPr>
        <w:t xml:space="preserve">Grote vellen en stiften voor opdracht 4.3; de hexagonen worden gefotografeerd en zijn werkbasis in deel 6 en 7</w:t>
      </w:r>
    </w:p>
    <w:p>
      <w:pPr>
        <w:pStyle w:val="ListParagraph"/>
        <w:numPr>
          <w:ilvl w:val="0"/>
          <w:numId w:val="2"/>
        </w:numPr>
        <w:spacing w:after="100"/>
      </w:pPr>
      <w:r>
        <w:rPr>
          <w:color w:val="1F2937"/>
          <w:sz w:val="22"/>
          <w:szCs w:val="22"/>
        </w:rPr>
        <w:t xml:space="preserve">Rekenmachine of niets — de rekensom in 4.4d moet uit het hoofd kunnen; dat is onderdeel van het effect</w:t>
      </w:r>
    </w:p>
    <w:p>
      <w:pPr>
        <w:pStyle w:val="ListParagraph"/>
        <w:numPr>
          <w:ilvl w:val="0"/>
          <w:numId w:val="2"/>
        </w:numPr>
        <w:spacing w:after="100"/>
      </w:pPr>
      <w:r>
        <w:rPr>
          <w:color w:val="1F2937"/>
          <w:sz w:val="22"/>
          <w:szCs w:val="22"/>
        </w:rPr>
        <w:t xml:space="preserve">Parkeerlijst uit deel 1–3</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5 behandelt monoliet, modulith, microservices en event-driven architectuur, en sluit B4.</w:t>
      </w:r>
    </w:p>
    <w:p>
      <w:pPr>
        <w:spacing w:after="160" w:line="276"/>
      </w:pPr>
      <w:r>
        <w:rPr>
          <w:b/>
          <w:bCs/>
          <w:color w:val="1F2937"/>
          <w:sz w:val="22"/>
          <w:szCs w:val="22"/>
        </w:rPr>
        <w:t xml:space="preserve">De brug: </w:t>
      </w:r>
      <w:r>
        <w:rPr>
          <w:color w:val="1F2937"/>
          <w:sz w:val="22"/>
          <w:szCs w:val="22"/>
        </w:rPr>
        <w:t xml:space="preserve">vandaag hebben we bepaald hoe het systeem van binnen in elkaar zit. Volgende keer bepalen we in hoeveel afzonderlijk uitrolbare stukken het uiteenvalt — en dat is een heel andere vraag, met heel andere kosten. Het is ook de vraag waarop Mutatie 1.0 het antwoord van iemand anders heeft overgenomen.</w:t>
      </w:r>
    </w:p>
    <w:p>
      <w:pPr>
        <w:spacing w:after="160" w:line="276"/>
      </w:pPr>
      <w:r>
        <w:rPr>
          <w:color w:val="1F2937"/>
          <w:sz w:val="22"/>
          <w:szCs w:val="22"/>
        </w:rPr>
        <w:t xml:space="preserve">Open deel 5 met de geparkeerde microservicesvragen van vandaag. Dat geeft de groep het gevoel dat het parkeren serieus was, en het levert een scherpe start op.</w:t>
      </w:r>
    </w:p>
    <w:p>
      <w:pPr>
        <w:pBdr>
          <w:top w:val="single" w:color="E5E7EB" w:sz="4" w:space="8"/>
        </w:pBdr>
        <w:spacing w:before="400"/>
        <w:jc w:val="center"/>
      </w:pPr>
      <w:r>
        <w:rPr>
          <w:i/>
          <w:iCs/>
          <w:color w:val="6B7280"/>
          <w:sz w:val="17"/>
          <w:szCs w:val="17"/>
        </w:rPr>
        <w:t xml:space="preserve">Ductus B.V. · Cursus Softwarearchitectuur · Niveau 1, deel 4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2026-08-17T14:07:53.696Z</dcterms:created>
  <dcterms:modified xsi:type="dcterms:W3CDTF">2026-08-17T14:07:53.697Z</dcterms:modified>
</cp:coreProperties>
</file>

<file path=docProps/custom.xml><?xml version="1.0" encoding="utf-8"?>
<Properties xmlns="http://schemas.openxmlformats.org/officeDocument/2006/custom-properties" xmlns:vt="http://schemas.openxmlformats.org/officeDocument/2006/docPropsVTypes"/>
</file>