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4 — Architectuurstijlen I</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1 (CPSA-F) · Deel 4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b/>
          <w:bCs/>
          <w:color w:val="1F2937"/>
          <w:sz w:val="22"/>
          <w:szCs w:val="22"/>
        </w:rPr>
        <w:t xml:space="preserve">Bijlage J: </w:t>
      </w:r>
      <w:r>
        <w:rPr>
          <w:color w:val="1F2937"/>
          <w:sz w:val="22"/>
          <w:szCs w:val="22"/>
        </w:rPr>
        <w:t xml:space="preserve">functieoverzicht Mutatie 2.0 (mutatiesoorten, kanalen, externe koppelingen, rapportages)</w:t>
      </w:r>
    </w:p>
    <w:p>
      <w:pPr>
        <w:pStyle w:val="ListParagraph"/>
        <w:numPr>
          <w:ilvl w:val="0"/>
          <w:numId w:val="2"/>
        </w:numPr>
        <w:spacing w:after="100"/>
      </w:pPr>
      <w:r>
        <w:rPr>
          <w:b/>
          <w:bCs/>
          <w:color w:val="1F2937"/>
          <w:sz w:val="22"/>
          <w:szCs w:val="22"/>
        </w:rPr>
        <w:t xml:space="preserve">Bijlage K: </w:t>
      </w:r>
      <w:r>
        <w:rPr>
          <w:color w:val="1F2937"/>
          <w:sz w:val="22"/>
          <w:szCs w:val="22"/>
        </w:rPr>
        <w:t xml:space="preserve">drie architectuurschetsen van Mutatie 1.0, gereconstrueerd door de post-mortem (componentbeeld, deploybeeld, gegevensbeeld)</w:t>
      </w:r>
    </w:p>
    <w:p>
      <w:pPr>
        <w:pStyle w:val="ListParagraph"/>
        <w:numPr>
          <w:ilvl w:val="0"/>
          <w:numId w:val="2"/>
        </w:numPr>
        <w:spacing w:after="100"/>
      </w:pPr>
      <w:r>
        <w:rPr>
          <w:b/>
          <w:bCs/>
          <w:color w:val="1F2937"/>
          <w:sz w:val="22"/>
          <w:szCs w:val="22"/>
        </w:rPr>
        <w:t xml:space="preserve">Bijlage L: </w:t>
      </w:r>
      <w:r>
        <w:rPr>
          <w:color w:val="1F2937"/>
          <w:sz w:val="22"/>
          <w:szCs w:val="22"/>
        </w:rPr>
        <w:t xml:space="preserve">beschrijving van de nachtelijke werkgeversbatch, stap voor stap zoals hij in 1.0 werkte</w:t>
      </w:r>
    </w:p>
    <w:p>
      <w:pPr>
        <w:pStyle w:val="ListParagraph"/>
        <w:numPr>
          <w:ilvl w:val="0"/>
          <w:numId w:val="2"/>
        </w:numPr>
        <w:spacing w:after="100"/>
      </w:pPr>
      <w:r>
        <w:rPr>
          <w:color w:val="1F2937"/>
          <w:sz w:val="22"/>
          <w:szCs w:val="22"/>
        </w:rPr>
        <w:t xml:space="preserve">Uw hoofdindeling uit opdracht 3.3 en uw vier drijvers uit opdracht 2.7</w:t>
      </w:r>
    </w:p>
    <w:p>
      <w:pPr>
        <w:pStyle w:val="Heading1"/>
        <w:pBdr>
          <w:bottom w:val="single" w:color="E5E7EB" w:sz="6" w:space="6"/>
        </w:pBdr>
        <w:spacing w:after="180" w:before="380"/>
      </w:pPr>
      <w:r>
        <w:rPr>
          <w:b/>
          <w:bCs/>
          <w:color w:val="1F3A5F"/>
          <w:sz w:val="30"/>
          <w:szCs w:val="30"/>
        </w:rPr>
        <w:t xml:space="preserve">Opdracht 4.1 — Stijl, patroon of ontwerppatroon? (individueel, 10 minuten)</w:t>
      </w:r>
    </w:p>
    <w:p>
      <w:pPr>
        <w:spacing w:after="160" w:line="276"/>
      </w:pPr>
      <w:r>
        <w:rPr>
          <w:color w:val="1F2937"/>
          <w:sz w:val="22"/>
          <w:szCs w:val="22"/>
        </w:rPr>
        <w:t xml:space="preserve">Classificeer elk van de onderstaande twaalf begrippen als architectuurstijl (S), architectuurpatroon (P), ontwerppatroon (O) of referentiearchitectuur (R).</w:t>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900"/>
        <w:gridCol w:w="8700"/>
      </w:tblGrid>
      <w:tr>
        <w:trPr>
          <w:tblHeader/>
        </w:trPr>
        <w:tc>
          <w:tcPr>
            <w:tcW w:type="dxa" w:w="900"/>
            <w:shd w:fill="1F3A5F" w:val="clear"/>
            <w:tcMar>
              <w:top w:type="dxa" w:w="100"/>
              <w:left w:type="dxa" w:w="120"/>
              <w:bottom w:type="dxa" w:w="100"/>
              <w:right w:type="dxa" w:w="120"/>
            </w:tcMar>
            <w:vAlign w:val="center"/>
          </w:tcPr>
          <w:p>
            <w:r>
              <w:rPr>
                <w:b/>
                <w:bCs/>
                <w:color w:val="FFFFFF"/>
                <w:sz w:val="19"/>
                <w:szCs w:val="19"/>
              </w:rPr>
              <w:t xml:space="preserve">#</w:t>
            </w:r>
          </w:p>
        </w:tc>
        <w:tc>
          <w:tcPr>
            <w:tcW w:type="dxa" w:w="8700"/>
            <w:shd w:fill="1F3A5F" w:val="clear"/>
            <w:tcMar>
              <w:top w:type="dxa" w:w="100"/>
              <w:left w:type="dxa" w:w="120"/>
              <w:bottom w:type="dxa" w:w="100"/>
              <w:right w:type="dxa" w:w="120"/>
            </w:tcMar>
            <w:vAlign w:val="center"/>
          </w:tcPr>
          <w:p>
            <w:r>
              <w:rPr>
                <w:b/>
                <w:bCs/>
                <w:color w:val="FFFFFF"/>
                <w:sz w:val="19"/>
                <w:szCs w:val="19"/>
              </w:rPr>
              <w:t xml:space="preserve">Begrip</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w:t>
            </w:r>
          </w:p>
        </w:tc>
        <w:tc>
          <w:tcPr>
            <w:tcW w:type="dxa" w:w="8700"/>
            <w:tcMar>
              <w:top w:type="dxa" w:w="100"/>
              <w:left w:type="dxa" w:w="120"/>
              <w:bottom w:type="dxa" w:w="100"/>
              <w:right w:type="dxa" w:w="120"/>
            </w:tcMar>
            <w:vAlign w:val="center"/>
          </w:tcPr>
          <w:p>
            <w:r>
              <w:rPr>
                <w:b w:val="false"/>
                <w:bCs w:val="false"/>
                <w:color w:val="1F2937"/>
                <w:sz w:val="19"/>
                <w:szCs w:val="19"/>
              </w:rPr>
              <w:t xml:space="preserve">Gelaagde architectuur</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2</w:t>
            </w:r>
          </w:p>
        </w:tc>
        <w:tc>
          <w:tcPr>
            <w:tcW w:type="dxa" w:w="8700"/>
            <w:tcMar>
              <w:top w:type="dxa" w:w="100"/>
              <w:left w:type="dxa" w:w="120"/>
              <w:bottom w:type="dxa" w:w="100"/>
              <w:right w:type="dxa" w:w="120"/>
            </w:tcMar>
            <w:vAlign w:val="center"/>
          </w:tcPr>
          <w:p>
            <w:r>
              <w:rPr>
                <w:b w:val="false"/>
                <w:bCs w:val="false"/>
                <w:color w:val="1F2937"/>
                <w:sz w:val="19"/>
                <w:szCs w:val="19"/>
              </w:rPr>
              <w:t xml:space="preserve">Circuit breaker</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3</w:t>
            </w:r>
          </w:p>
        </w:tc>
        <w:tc>
          <w:tcPr>
            <w:tcW w:type="dxa" w:w="8700"/>
            <w:tcMar>
              <w:top w:type="dxa" w:w="100"/>
              <w:left w:type="dxa" w:w="120"/>
              <w:bottom w:type="dxa" w:w="100"/>
              <w:right w:type="dxa" w:w="120"/>
            </w:tcMar>
            <w:vAlign w:val="center"/>
          </w:tcPr>
          <w:p>
            <w:r>
              <w:rPr>
                <w:b w:val="false"/>
                <w:bCs w:val="false"/>
                <w:color w:val="1F2937"/>
                <w:sz w:val="19"/>
                <w:szCs w:val="19"/>
              </w:rPr>
              <w:t xml:space="preserve">Fabrieksmethode</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4</w:t>
            </w:r>
          </w:p>
        </w:tc>
        <w:tc>
          <w:tcPr>
            <w:tcW w:type="dxa" w:w="8700"/>
            <w:tcMar>
              <w:top w:type="dxa" w:w="100"/>
              <w:left w:type="dxa" w:w="120"/>
              <w:bottom w:type="dxa" w:w="100"/>
              <w:right w:type="dxa" w:w="120"/>
            </w:tcMar>
            <w:vAlign w:val="center"/>
          </w:tcPr>
          <w:p>
            <w:r>
              <w:rPr>
                <w:b w:val="false"/>
                <w:bCs w:val="false"/>
                <w:color w:val="1F2937"/>
                <w:sz w:val="19"/>
                <w:szCs w:val="19"/>
              </w:rPr>
              <w:t xml:space="preserve">Ports &amp; adapters</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5</w:t>
            </w:r>
          </w:p>
        </w:tc>
        <w:tc>
          <w:tcPr>
            <w:tcW w:type="dxa" w:w="8700"/>
            <w:tcMar>
              <w:top w:type="dxa" w:w="100"/>
              <w:left w:type="dxa" w:w="120"/>
              <w:bottom w:type="dxa" w:w="100"/>
              <w:right w:type="dxa" w:w="120"/>
            </w:tcMar>
            <w:vAlign w:val="center"/>
          </w:tcPr>
          <w:p>
            <w:r>
              <w:rPr>
                <w:b w:val="false"/>
                <w:bCs w:val="false"/>
                <w:color w:val="1F2937"/>
                <w:sz w:val="19"/>
                <w:szCs w:val="19"/>
              </w:rPr>
              <w:t xml:space="preserve">Publiceren/abonneren</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6</w:t>
            </w:r>
          </w:p>
        </w:tc>
        <w:tc>
          <w:tcPr>
            <w:tcW w:type="dxa" w:w="8700"/>
            <w:tcMar>
              <w:top w:type="dxa" w:w="100"/>
              <w:left w:type="dxa" w:w="120"/>
              <w:bottom w:type="dxa" w:w="100"/>
              <w:right w:type="dxa" w:w="120"/>
            </w:tcMar>
            <w:vAlign w:val="center"/>
          </w:tcPr>
          <w:p>
            <w:r>
              <w:rPr>
                <w:b w:val="false"/>
                <w:bCs w:val="false"/>
                <w:color w:val="1F2937"/>
                <w:sz w:val="19"/>
                <w:szCs w:val="19"/>
              </w:rPr>
              <w:t xml:space="preserve">Strategie</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7</w:t>
            </w:r>
          </w:p>
        </w:tc>
        <w:tc>
          <w:tcPr>
            <w:tcW w:type="dxa" w:w="8700"/>
            <w:tcMar>
              <w:top w:type="dxa" w:w="100"/>
              <w:left w:type="dxa" w:w="120"/>
              <w:bottom w:type="dxa" w:w="100"/>
              <w:right w:type="dxa" w:w="120"/>
            </w:tcMar>
            <w:vAlign w:val="center"/>
          </w:tcPr>
          <w:p>
            <w:r>
              <w:rPr>
                <w:b w:val="false"/>
                <w:bCs w:val="false"/>
                <w:color w:val="1F2937"/>
                <w:sz w:val="19"/>
                <w:szCs w:val="19"/>
              </w:rPr>
              <w:t xml:space="preserve">Pipes &amp; filters</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8</w:t>
            </w:r>
          </w:p>
        </w:tc>
        <w:tc>
          <w:tcPr>
            <w:tcW w:type="dxa" w:w="8700"/>
            <w:tcMar>
              <w:top w:type="dxa" w:w="100"/>
              <w:left w:type="dxa" w:w="120"/>
              <w:bottom w:type="dxa" w:w="100"/>
              <w:right w:type="dxa" w:w="120"/>
            </w:tcMar>
            <w:vAlign w:val="center"/>
          </w:tcPr>
          <w:p>
            <w:r>
              <w:rPr>
                <w:b w:val="false"/>
                <w:bCs w:val="false"/>
                <w:color w:val="1F2937"/>
                <w:sz w:val="19"/>
                <w:szCs w:val="19"/>
              </w:rPr>
              <w:t xml:space="preserve">Outbox</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9</w:t>
            </w:r>
          </w:p>
        </w:tc>
        <w:tc>
          <w:tcPr>
            <w:tcW w:type="dxa" w:w="8700"/>
            <w:tcMar>
              <w:top w:type="dxa" w:w="100"/>
              <w:left w:type="dxa" w:w="120"/>
              <w:bottom w:type="dxa" w:w="100"/>
              <w:right w:type="dxa" w:w="120"/>
            </w:tcMar>
            <w:vAlign w:val="center"/>
          </w:tcPr>
          <w:p>
            <w:r>
              <w:rPr>
                <w:b w:val="false"/>
                <w:bCs w:val="false"/>
                <w:color w:val="1F2937"/>
                <w:sz w:val="19"/>
                <w:szCs w:val="19"/>
              </w:rPr>
              <w:t xml:space="preserve">Sectorreferentie pensioenadministratie</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10</w:t>
            </w:r>
          </w:p>
        </w:tc>
        <w:tc>
          <w:tcPr>
            <w:tcW w:type="dxa" w:w="8700"/>
            <w:tcMar>
              <w:top w:type="dxa" w:w="100"/>
              <w:left w:type="dxa" w:w="120"/>
              <w:bottom w:type="dxa" w:w="100"/>
              <w:right w:type="dxa" w:w="120"/>
            </w:tcMar>
            <w:vAlign w:val="center"/>
          </w:tcPr>
          <w:p>
            <w:r>
              <w:rPr>
                <w:b w:val="false"/>
                <w:bCs w:val="false"/>
                <w:color w:val="1F2937"/>
                <w:sz w:val="19"/>
                <w:szCs w:val="19"/>
              </w:rPr>
              <w:t xml:space="preserve">Waarnemer</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11</w:t>
            </w:r>
          </w:p>
        </w:tc>
        <w:tc>
          <w:tcPr>
            <w:tcW w:type="dxa" w:w="8700"/>
            <w:tcMar>
              <w:top w:type="dxa" w:w="100"/>
              <w:left w:type="dxa" w:w="120"/>
              <w:bottom w:type="dxa" w:w="100"/>
              <w:right w:type="dxa" w:w="120"/>
            </w:tcMar>
            <w:vAlign w:val="center"/>
          </w:tcPr>
          <w:p>
            <w:r>
              <w:rPr>
                <w:b w:val="false"/>
                <w:bCs w:val="false"/>
                <w:color w:val="1F2937"/>
                <w:sz w:val="19"/>
                <w:szCs w:val="19"/>
              </w:rPr>
              <w:t xml:space="preserve">Model-view-controller</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12</w:t>
            </w:r>
          </w:p>
        </w:tc>
        <w:tc>
          <w:tcPr>
            <w:tcW w:type="dxa" w:w="8700"/>
            <w:tcMar>
              <w:top w:type="dxa" w:w="100"/>
              <w:left w:type="dxa" w:w="120"/>
              <w:bottom w:type="dxa" w:w="100"/>
              <w:right w:type="dxa" w:w="120"/>
            </w:tcMar>
            <w:vAlign w:val="center"/>
          </w:tcPr>
          <w:p>
            <w:r>
              <w:rPr>
                <w:b w:val="false"/>
                <w:bCs w:val="false"/>
                <w:color w:val="1F2937"/>
                <w:sz w:val="19"/>
                <w:szCs w:val="19"/>
              </w:rPr>
              <w:t xml:space="preserve">Clean architecture</w:t>
            </w:r>
          </w:p>
        </w:tc>
      </w:tr>
    </w:tbl>
    <w:p>
      <w:pPr>
        <w:spacing w:after="200"/>
      </w:pPr>
    </w:p>
    <w:p>
      <w:pPr>
        <w:spacing w:after="160" w:line="276"/>
      </w:pPr>
      <w:r>
        <w:rPr>
          <w:color w:val="1F2937"/>
          <w:sz w:val="22"/>
          <w:szCs w:val="22"/>
        </w:rPr>
        <w:t xml:space="preserve">Twee van deze twaalf zijn omstreden — verschillende auteurs delen ze anders in. Welke twee, volgens u, en waarom maakt dat voor de praktijk weinig uit?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tbl>
            <w:tblPr>
              <w:tblW w:type="dxa" w:w="8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1400"/>
              <w:gridCol w:w="6700"/>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Type</w:t>
                  </w:r>
                </w:p>
              </w:tc>
              <w:tc>
                <w:tcPr>
                  <w:tcW w:type="dxa" w:w="6700"/>
                  <w:shd w:fill="1F3A5F" w:val="clear"/>
                  <w:tcMar>
                    <w:top w:type="dxa" w:w="100"/>
                    <w:left w:type="dxa" w:w="120"/>
                    <w:bottom w:type="dxa" w:w="100"/>
                    <w:right w:type="dxa" w:w="120"/>
                  </w:tcMar>
                  <w:vAlign w:val="center"/>
                </w:tcPr>
                <w:p>
                  <w:r>
                    <w:rPr>
                      <w:b/>
                      <w:bCs/>
                      <w:color w:val="FFFFFF"/>
                      <w:sz w:val="19"/>
                      <w:szCs w:val="19"/>
                    </w:rPr>
                    <w:t xml:space="preserve">Toelichting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1400"/>
                  <w:tcMar>
                    <w:top w:type="dxa" w:w="100"/>
                    <w:left w:type="dxa" w:w="120"/>
                    <w:bottom w:type="dxa" w:w="100"/>
                    <w:right w:type="dxa" w:w="120"/>
                  </w:tcMar>
                  <w:vAlign w:val="center"/>
                </w:tcPr>
                <w:p>
                  <w:r>
                    <w:rPr>
                      <w:b w:val="false"/>
                      <w:bCs w:val="false"/>
                      <w:color w:val="1F2937"/>
                      <w:sz w:val="19"/>
                      <w:szCs w:val="19"/>
                    </w:rPr>
                    <w:t xml:space="preserve">S</w:t>
                  </w:r>
                </w:p>
              </w:tc>
              <w:tc>
                <w:tcPr>
                  <w:tcW w:type="dxa" w:w="6700"/>
                  <w:tcMar>
                    <w:top w:type="dxa" w:w="100"/>
                    <w:left w:type="dxa" w:w="120"/>
                    <w:bottom w:type="dxa" w:w="100"/>
                    <w:right w:type="dxa" w:w="120"/>
                  </w:tcMar>
                  <w:vAlign w:val="center"/>
                </w:tcPr>
                <w:p>
                  <w:r>
                    <w:rPr>
                      <w:b w:val="false"/>
                      <w:bCs w:val="false"/>
                      <w:color w:val="1F2937"/>
                      <w:sz w:val="19"/>
                      <w:szCs w:val="19"/>
                    </w:rPr>
                    <w:t xml:space="preserve">Bepaalt de grondvorm van het geheel</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1400"/>
                  <w:tcMar>
                    <w:top w:type="dxa" w:w="100"/>
                    <w:left w:type="dxa" w:w="120"/>
                    <w:bottom w:type="dxa" w:w="100"/>
                    <w:right w:type="dxa" w:w="120"/>
                  </w:tcMar>
                  <w:vAlign w:val="center"/>
                </w:tcPr>
                <w:p>
                  <w:r>
                    <w:rPr>
                      <w:b w:val="false"/>
                      <w:bCs w:val="false"/>
                      <w:color w:val="1F2937"/>
                      <w:sz w:val="19"/>
                      <w:szCs w:val="19"/>
                    </w:rPr>
                    <w:t xml:space="preserve">P</w:t>
                  </w:r>
                </w:p>
              </w:tc>
              <w:tc>
                <w:tcPr>
                  <w:tcW w:type="dxa" w:w="6700"/>
                  <w:tcMar>
                    <w:top w:type="dxa" w:w="100"/>
                    <w:left w:type="dxa" w:w="120"/>
                    <w:bottom w:type="dxa" w:w="100"/>
                    <w:right w:type="dxa" w:w="120"/>
                  </w:tcMar>
                  <w:vAlign w:val="center"/>
                </w:tcPr>
                <w:p>
                  <w:r>
                    <w:rPr>
                      <w:b w:val="false"/>
                      <w:bCs w:val="false"/>
                      <w:color w:val="1F2937"/>
                      <w:sz w:val="19"/>
                      <w:szCs w:val="19"/>
                    </w:rPr>
                    <w:t xml:space="preserve">Lost een deelprobleem op (omgaan met een falende afhankelijkheid)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1400"/>
                  <w:tcMar>
                    <w:top w:type="dxa" w:w="100"/>
                    <w:left w:type="dxa" w:w="120"/>
                    <w:bottom w:type="dxa" w:w="100"/>
                    <w:right w:type="dxa" w:w="120"/>
                  </w:tcMar>
                  <w:vAlign w:val="center"/>
                </w:tcPr>
                <w:p>
                  <w:r>
                    <w:rPr>
                      <w:b w:val="false"/>
                      <w:bCs w:val="false"/>
                      <w:color w:val="1F2937"/>
                      <w:sz w:val="19"/>
                      <w:szCs w:val="19"/>
                    </w:rPr>
                    <w:t xml:space="preserve">O</w:t>
                  </w:r>
                </w:p>
              </w:tc>
              <w:tc>
                <w:tcPr>
                  <w:tcW w:type="dxa" w:w="6700"/>
                  <w:tcMar>
                    <w:top w:type="dxa" w:w="100"/>
                    <w:left w:type="dxa" w:w="120"/>
                    <w:bottom w:type="dxa" w:w="100"/>
                    <w:right w:type="dxa" w:w="120"/>
                  </w:tcMar>
                  <w:vAlign w:val="center"/>
                </w:tcPr>
                <w:p>
                  <w:r>
                    <w:rPr>
                      <w:b w:val="false"/>
                      <w:bCs w:val="false"/>
                      <w:color w:val="1F2937"/>
                      <w:sz w:val="19"/>
                      <w:szCs w:val="19"/>
                    </w:rPr>
                    <w:t xml:space="preserve">Klasseniveau</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1400"/>
                  <w:tcMar>
                    <w:top w:type="dxa" w:w="100"/>
                    <w:left w:type="dxa" w:w="120"/>
                    <w:bottom w:type="dxa" w:w="100"/>
                    <w:right w:type="dxa" w:w="120"/>
                  </w:tcMar>
                  <w:vAlign w:val="center"/>
                </w:tcPr>
                <w:p>
                  <w:r>
                    <w:rPr>
                      <w:b w:val="false"/>
                      <w:bCs w:val="false"/>
                      <w:color w:val="1F2937"/>
                      <w:sz w:val="19"/>
                      <w:szCs w:val="19"/>
                    </w:rPr>
                    <w:t xml:space="preserve">S</w:t>
                  </w:r>
                </w:p>
              </w:tc>
              <w:tc>
                <w:tcPr>
                  <w:tcW w:type="dxa" w:w="67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1400"/>
                  <w:tcMar>
                    <w:top w:type="dxa" w:w="100"/>
                    <w:left w:type="dxa" w:w="120"/>
                    <w:bottom w:type="dxa" w:w="100"/>
                    <w:right w:type="dxa" w:w="120"/>
                  </w:tcMar>
                  <w:vAlign w:val="center"/>
                </w:tcPr>
                <w:p>
                  <w:r>
                    <w:rPr>
                      <w:b w:val="false"/>
                      <w:bCs w:val="false"/>
                      <w:color w:val="1F2937"/>
                      <w:sz w:val="19"/>
                      <w:szCs w:val="19"/>
                    </w:rPr>
                    <w:t xml:space="preserve">P</w:t>
                  </w:r>
                </w:p>
              </w:tc>
              <w:tc>
                <w:tcPr>
                  <w:tcW w:type="dxa" w:w="67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1400"/>
                  <w:tcMar>
                    <w:top w:type="dxa" w:w="100"/>
                    <w:left w:type="dxa" w:w="120"/>
                    <w:bottom w:type="dxa" w:w="100"/>
                    <w:right w:type="dxa" w:w="120"/>
                  </w:tcMar>
                  <w:vAlign w:val="center"/>
                </w:tcPr>
                <w:p>
                  <w:r>
                    <w:rPr>
                      <w:b w:val="false"/>
                      <w:bCs w:val="false"/>
                      <w:color w:val="1F2937"/>
                      <w:sz w:val="19"/>
                      <w:szCs w:val="19"/>
                    </w:rPr>
                    <w:t xml:space="preserve">O</w:t>
                  </w:r>
                </w:p>
              </w:tc>
              <w:tc>
                <w:tcPr>
                  <w:tcW w:type="dxa" w:w="67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1400"/>
                  <w:tcMar>
                    <w:top w:type="dxa" w:w="100"/>
                    <w:left w:type="dxa" w:w="120"/>
                    <w:bottom w:type="dxa" w:w="100"/>
                    <w:right w:type="dxa" w:w="120"/>
                  </w:tcMar>
                  <w:vAlign w:val="center"/>
                </w:tcPr>
                <w:p>
                  <w:r>
                    <w:rPr>
                      <w:b w:val="false"/>
                      <w:bCs w:val="false"/>
                      <w:color w:val="1F2937"/>
                      <w:sz w:val="19"/>
                      <w:szCs w:val="19"/>
                    </w:rPr>
                    <w:t xml:space="preserve">S</w:t>
                  </w:r>
                </w:p>
              </w:tc>
              <w:tc>
                <w:tcPr>
                  <w:tcW w:type="dxa" w:w="67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1400"/>
                  <w:tcMar>
                    <w:top w:type="dxa" w:w="100"/>
                    <w:left w:type="dxa" w:w="120"/>
                    <w:bottom w:type="dxa" w:w="100"/>
                    <w:right w:type="dxa" w:w="120"/>
                  </w:tcMar>
                  <w:vAlign w:val="center"/>
                </w:tcPr>
                <w:p>
                  <w:r>
                    <w:rPr>
                      <w:b w:val="false"/>
                      <w:bCs w:val="false"/>
                      <w:color w:val="1F2937"/>
                      <w:sz w:val="19"/>
                      <w:szCs w:val="19"/>
                    </w:rPr>
                    <w:t xml:space="preserve">P</w:t>
                  </w:r>
                </w:p>
              </w:tc>
              <w:tc>
                <w:tcPr>
                  <w:tcW w:type="dxa" w:w="6700"/>
                  <w:tcMar>
                    <w:top w:type="dxa" w:w="100"/>
                    <w:left w:type="dxa" w:w="120"/>
                    <w:bottom w:type="dxa" w:w="100"/>
                    <w:right w:type="dxa" w:w="120"/>
                  </w:tcMar>
                  <w:vAlign w:val="center"/>
                </w:tcPr>
                <w:p>
                  <w:r>
                    <w:rPr>
                      <w:b w:val="false"/>
                      <w:bCs w:val="false"/>
                      <w:color w:val="1F2937"/>
                      <w:sz w:val="19"/>
                      <w:szCs w:val="19"/>
                    </w:rPr>
                    <w:t xml:space="preserve">Betrouwbare doorgifte bij een gedeeltelijk falend systeem — komt terug in niveau 2</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1400"/>
                  <w:tcMar>
                    <w:top w:type="dxa" w:w="100"/>
                    <w:left w:type="dxa" w:w="120"/>
                    <w:bottom w:type="dxa" w:w="100"/>
                    <w:right w:type="dxa" w:w="120"/>
                  </w:tcMar>
                  <w:vAlign w:val="center"/>
                </w:tcPr>
                <w:p>
                  <w:r>
                    <w:rPr>
                      <w:b w:val="false"/>
                      <w:bCs w:val="false"/>
                      <w:color w:val="1F2937"/>
                      <w:sz w:val="19"/>
                      <w:szCs w:val="19"/>
                    </w:rPr>
                    <w:t xml:space="preserve">R</w:t>
                  </w:r>
                </w:p>
              </w:tc>
              <w:tc>
                <w:tcPr>
                  <w:tcW w:type="dxa" w:w="6700"/>
                  <w:tcMar>
                    <w:top w:type="dxa" w:w="100"/>
                    <w:left w:type="dxa" w:w="120"/>
                    <w:bottom w:type="dxa" w:w="100"/>
                    <w:right w:type="dxa" w:w="120"/>
                  </w:tcMar>
                  <w:vAlign w:val="center"/>
                </w:tcPr>
                <w:p>
                  <w:r>
                    <w:rPr>
                      <w:b w:val="false"/>
                      <w:bCs w:val="false"/>
                      <w:color w:val="1F2937"/>
                      <w:sz w:val="19"/>
                      <w:szCs w:val="19"/>
                    </w:rPr>
                    <w:t xml:space="preserve">Domeinspecifieke, uitgewerkte invulling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1400"/>
                  <w:tcMar>
                    <w:top w:type="dxa" w:w="100"/>
                    <w:left w:type="dxa" w:w="120"/>
                    <w:bottom w:type="dxa" w:w="100"/>
                    <w:right w:type="dxa" w:w="120"/>
                  </w:tcMar>
                  <w:vAlign w:val="center"/>
                </w:tcPr>
                <w:p>
                  <w:r>
                    <w:rPr>
                      <w:b w:val="false"/>
                      <w:bCs w:val="false"/>
                      <w:color w:val="1F2937"/>
                      <w:sz w:val="19"/>
                      <w:szCs w:val="19"/>
                    </w:rPr>
                    <w:t xml:space="preserve">O</w:t>
                  </w:r>
                </w:p>
              </w:tc>
              <w:tc>
                <w:tcPr>
                  <w:tcW w:type="dxa" w:w="6700"/>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11</w:t>
                  </w:r>
                </w:p>
              </w:tc>
              <w:tc>
                <w:tcPr>
                  <w:tcW w:type="dxa" w:w="1400"/>
                  <w:tcMar>
                    <w:top w:type="dxa" w:w="100"/>
                    <w:left w:type="dxa" w:w="120"/>
                    <w:bottom w:type="dxa" w:w="100"/>
                    <w:right w:type="dxa" w:w="120"/>
                  </w:tcMar>
                  <w:vAlign w:val="center"/>
                </w:tcPr>
                <w:p>
                  <w:r>
                    <w:rPr>
                      <w:b w:val="false"/>
                      <w:bCs w:val="false"/>
                      <w:color w:val="1F2937"/>
                      <w:sz w:val="19"/>
                      <w:szCs w:val="19"/>
                    </w:rPr>
                    <w:t xml:space="preserve">omstreden</w:t>
                  </w:r>
                </w:p>
              </w:tc>
              <w:tc>
                <w:tcPr>
                  <w:tcW w:type="dxa" w:w="6700"/>
                  <w:tcMar>
                    <w:top w:type="dxa" w:w="100"/>
                    <w:left w:type="dxa" w:w="120"/>
                    <w:bottom w:type="dxa" w:w="100"/>
                    <w:right w:type="dxa" w:w="120"/>
                  </w:tcMar>
                  <w:vAlign w:val="center"/>
                </w:tcPr>
                <w:p>
                  <w:r>
                    <w:rPr>
                      <w:b w:val="false"/>
                      <w:bCs w:val="false"/>
                      <w:color w:val="1F2937"/>
                      <w:sz w:val="19"/>
                      <w:szCs w:val="19"/>
                    </w:rPr>
                    <w:t xml:space="preserve">Door sommigen stijl, door anderen patroon genoemd. Reikwijdte: bepaalt de grondvorm van een gebruikersinterface, niet van een heel systeem — in de praktijk dus eerder patroon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12</w:t>
                  </w:r>
                </w:p>
              </w:tc>
              <w:tc>
                <w:tcPr>
                  <w:tcW w:type="dxa" w:w="1400"/>
                  <w:tcMar>
                    <w:top w:type="dxa" w:w="100"/>
                    <w:left w:type="dxa" w:w="120"/>
                    <w:bottom w:type="dxa" w:w="100"/>
                    <w:right w:type="dxa" w:w="120"/>
                  </w:tcMar>
                  <w:vAlign w:val="center"/>
                </w:tcPr>
                <w:p>
                  <w:r>
                    <w:rPr>
                      <w:b w:val="false"/>
                      <w:bCs w:val="false"/>
                      <w:color w:val="1F2937"/>
                      <w:sz w:val="19"/>
                      <w:szCs w:val="19"/>
                    </w:rPr>
                    <w:t xml:space="preserve">omstreden</w:t>
                  </w:r>
                </w:p>
              </w:tc>
              <w:tc>
                <w:tcPr>
                  <w:tcW w:type="dxa" w:w="6700"/>
                  <w:tcMar>
                    <w:top w:type="dxa" w:w="100"/>
                    <w:left w:type="dxa" w:w="120"/>
                    <w:bottom w:type="dxa" w:w="100"/>
                    <w:right w:type="dxa" w:w="120"/>
                  </w:tcMar>
                  <w:vAlign w:val="center"/>
                </w:tcPr>
                <w:p>
                  <w:r>
                    <w:rPr>
                      <w:b w:val="false"/>
                      <w:bCs w:val="false"/>
                      <w:color w:val="1F2937"/>
                      <w:sz w:val="19"/>
                      <w:szCs w:val="19"/>
                    </w:rPr>
                    <w:t xml:space="preserve">Een variant op ports &amp; adapters; sommigen noemen het een stijl, anderen een specifieke uitwerking ervan</w:t>
                  </w:r>
                </w:p>
              </w:tc>
            </w:tr>
          </w:tbl>
          <w:p>
            <w:pPr>
              <w:spacing w:after="160"/>
            </w:pPr>
          </w:p>
          <w:p>
            <w:pPr>
              <w:spacing w:after="120" w:line="270"/>
            </w:pPr>
            <w:r>
              <w:rPr>
                <w:b/>
                <w:bCs/>
                <w:color w:val="1F2937"/>
                <w:sz w:val="20"/>
                <w:szCs w:val="20"/>
              </w:rPr>
              <w:t xml:space="preserve">Waarom dat weinig uitmaakt. </w:t>
            </w:r>
            <w:r>
              <w:rPr>
                <w:color w:val="1F2937"/>
                <w:sz w:val="20"/>
                <w:szCs w:val="20"/>
              </w:rPr>
              <w:t xml:space="preserve">De indeling is een hulpmiddel om over reikwijdte te praten, geen taxonomie die u moet verdedigen. Wat telt is de vraag hoeveel van het systeem legt deze keuze vast? — en die vraag beantwoordt u zonder het etiket. Het examen toetst begrip van reikwijdte, niet uw vermogen om MVC in een hokje te plaatsen.</w:t>
            </w:r>
          </w:p>
        </w:tc>
      </w:tr>
    </w:tbl>
    <w:p>
      <w:pPr>
        <w:pStyle w:val="Heading1"/>
        <w:pBdr>
          <w:bottom w:val="single" w:color="E5E7EB" w:sz="6" w:space="6"/>
        </w:pBdr>
        <w:spacing w:after="180" w:before="380"/>
      </w:pPr>
      <w:r>
        <w:rPr>
          <w:b/>
          <w:bCs/>
          <w:color w:val="1F3A5F"/>
          <w:sz w:val="30"/>
          <w:szCs w:val="30"/>
        </w:rPr>
        <w:t xml:space="preserve">Opdracht 4.2 — Open of gesloten lagen? (duo's, 20 minuten)</w:t>
      </w:r>
    </w:p>
    <w:p>
      <w:pPr>
        <w:spacing w:after="160" w:line="276"/>
      </w:pPr>
      <w:r>
        <w:rPr>
          <w:color w:val="1F2937"/>
          <w:sz w:val="22"/>
          <w:szCs w:val="22"/>
        </w:rPr>
        <w:t xml:space="preserve">Bijlage K bevat het componentbeeld van Mutatie 1.0. Het systeem was nominaal gelaagd opgezet.</w:t>
      </w:r>
    </w:p>
    <w:p>
      <w:pPr>
        <w:spacing w:after="120" w:line="270"/>
      </w:pPr>
      <w:r>
        <w:rPr>
          <w:b/>
          <w:bCs/>
          <w:color w:val="1F2937"/>
          <w:sz w:val="20"/>
          <w:szCs w:val="20"/>
        </w:rPr>
        <w:t xml:space="preserve">a) </w:t>
      </w:r>
      <w:r>
        <w:rPr>
          <w:color w:val="1F2937"/>
          <w:sz w:val="20"/>
          <w:szCs w:val="20"/>
        </w:rPr>
        <w:t xml:space="preserve">Zoek in het beeld naar aanroepen die een laag overslaan. Hoeveel zijn het er, en welke lagen worden overgeslagen?</w:t>
      </w:r>
    </w:p>
    <w:p>
      <w:pPr>
        <w:spacing w:after="120" w:line="270"/>
      </w:pPr>
      <w:r>
        <w:rPr>
          <w:b/>
          <w:bCs/>
          <w:color w:val="1F2937"/>
          <w:sz w:val="20"/>
          <w:szCs w:val="20"/>
        </w:rPr>
        <w:t xml:space="preserve">b) </w:t>
      </w:r>
      <w:r>
        <w:rPr>
          <w:color w:val="1F2937"/>
          <w:sz w:val="20"/>
          <w:szCs w:val="20"/>
        </w:rPr>
        <w:t xml:space="preserve">Beoordeel per overgeslagen aanroep: is dit een bewuste optimalisatie of een gemakkelijkheidsoplossing? U mag speculeren, mits u uw redenering geeft.</w:t>
      </w:r>
    </w:p>
    <w:p>
      <w:pPr>
        <w:spacing w:after="120" w:line="270"/>
      </w:pPr>
      <w:r>
        <w:rPr>
          <w:b/>
          <w:bCs/>
          <w:color w:val="1F2937"/>
          <w:sz w:val="20"/>
          <w:szCs w:val="20"/>
        </w:rPr>
        <w:t xml:space="preserve">c) </w:t>
      </w:r>
      <w:r>
        <w:rPr>
          <w:color w:val="1F2937"/>
          <w:sz w:val="20"/>
          <w:szCs w:val="20"/>
        </w:rPr>
        <w:t xml:space="preserve">Stel dat u vandaag als architect bij Mutatie 1.0 zou instappen. Zou u de lagen sluiten of openen? Formuleer uw regel in één zin, zodanig dat een ontwikkelaar hem morgen kan toepassen zonder u te vragen.</w:t>
      </w:r>
    </w:p>
    <w:p>
      <w:pPr>
        <w:spacing w:after="120" w:line="270"/>
      </w:pPr>
      <w:r>
        <w:rPr>
          <w:b/>
          <w:bCs/>
          <w:color w:val="1F2937"/>
          <w:sz w:val="20"/>
          <w:szCs w:val="20"/>
        </w:rPr>
        <w:t xml:space="preserve">d) </w:t>
      </w:r>
      <w:r>
        <w:rPr>
          <w:color w:val="1F2937"/>
          <w:sz w:val="20"/>
          <w:szCs w:val="20"/>
        </w:rPr>
        <w:t xml:space="preserve">Wat kost uw keuze? Bij sluiten: hoeveel doorgeefluikcomponenten ontstaan er? Bij openen: welke isolatie geeft u op?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60" w:before="100"/>
            </w:pPr>
            <w:r>
              <w:rPr>
                <w:b/>
                <w:bCs/>
                <w:color w:val="1F3A5F"/>
                <w:sz w:val="20"/>
                <w:szCs w:val="20"/>
              </w:rPr>
              <w:t xml:space="preserve">a)</w:t>
            </w:r>
          </w:p>
          <w:p>
            <w:pPr>
              <w:spacing w:after="120" w:line="270"/>
            </w:pPr>
            <w:r>
              <w:rPr>
                <w:color w:val="1F2937"/>
                <w:sz w:val="20"/>
                <w:szCs w:val="20"/>
              </w:rPr>
              <w:t xml:space="preserve">In bijlage K zijn zeven laagoverschrijdende aanroepen zichtbaar, in drie soorten:</w:t>
            </w:r>
          </w:p>
          <w:p>
            <w:pPr>
              <w:pStyle w:val="ListParagraph"/>
              <w:numPr>
                <w:ilvl w:val="0"/>
                <w:numId w:val="2"/>
              </w:numPr>
              <w:spacing w:after="90"/>
            </w:pPr>
            <w:r>
              <w:rPr>
                <w:color w:val="1F2937"/>
                <w:sz w:val="20"/>
                <w:szCs w:val="20"/>
              </w:rPr>
              <w:t xml:space="preserve">vier keer presentatie → gegevenstoegang, alle vier voor leesacties (statusoverzicht, deelnemerszoekfunctie, rapportages);</w:t>
            </w:r>
          </w:p>
          <w:p>
            <w:pPr>
              <w:pStyle w:val="ListParagraph"/>
              <w:numPr>
                <w:ilvl w:val="0"/>
                <w:numId w:val="2"/>
              </w:numPr>
              <w:spacing w:after="90"/>
            </w:pPr>
            <w:r>
              <w:rPr>
                <w:color w:val="1F2937"/>
                <w:sz w:val="20"/>
                <w:szCs w:val="20"/>
              </w:rPr>
              <w:t xml:space="preserve">twee keer applicatielogica → externe koppeling, met omzeiling van de domeinlaag;</w:t>
            </w:r>
          </w:p>
          <w:p>
            <w:pPr>
              <w:pStyle w:val="ListParagraph"/>
              <w:numPr>
                <w:ilvl w:val="0"/>
                <w:numId w:val="2"/>
              </w:numPr>
              <w:spacing w:after="90"/>
            </w:pPr>
            <w:r>
              <w:rPr>
                <w:color w:val="1F2937"/>
                <w:sz w:val="20"/>
                <w:szCs w:val="20"/>
              </w:rPr>
              <w:t xml:space="preserve">één keer gegevenstoegang → applicatielogica, wat een omgekeerde aanroep is en dus geen laagoverslag maar een echte cyclus.</w:t>
            </w:r>
          </w:p>
          <w:p>
            <w:pPr>
              <w:spacing w:after="60" w:before="100"/>
            </w:pPr>
            <w:r>
              <w:rPr>
                <w:b/>
                <w:bCs/>
                <w:color w:val="1F3A5F"/>
                <w:sz w:val="20"/>
                <w:szCs w:val="20"/>
              </w:rPr>
              <w:t xml:space="preserve">b)</w:t>
            </w:r>
          </w:p>
          <w:p>
            <w:pPr>
              <w:spacing w:after="120" w:line="270"/>
            </w:pPr>
            <w:r>
              <w:rPr>
                <w:color w:val="1F2937"/>
                <w:sz w:val="20"/>
                <w:szCs w:val="20"/>
              </w:rPr>
              <w:t xml:space="preserve">De vier leesacties zijn defensibel als bewuste optimalisatie: er is niets toe te voegen tussen scherm en gegevens bij een pure leesactie, en de sinkhole vermijden is een reëel argument. De twee omzeilingen van de domeinlaag zijn dat niet: daar is domeinlogica omzeild, wat betekent dat regels op twee plaatsen leven of op één plaats worden overgeslagen.</w:t>
            </w:r>
          </w:p>
          <w:p>
            <w:pPr>
              <w:spacing w:after="120" w:line="270"/>
            </w:pPr>
            <w:r>
              <w:rPr>
                <w:color w:val="1F2937"/>
                <w:sz w:val="20"/>
                <w:szCs w:val="20"/>
              </w:rPr>
              <w:t xml:space="preserve">De omgekeerde aanroep is het ernstigst en is bijna zeker geen bewuste keuze. Een cyclus tussen lagen betekent dat de lagen geen lagen meer zijn.</w:t>
            </w:r>
          </w:p>
          <w:p>
            <w:pPr>
              <w:spacing w:after="60" w:before="100"/>
            </w:pPr>
            <w:r>
              <w:rPr>
                <w:b/>
                <w:bCs/>
                <w:color w:val="1F3A5F"/>
                <w:sz w:val="20"/>
                <w:szCs w:val="20"/>
              </w:rPr>
              <w:t xml:space="preserve">c) Bruikbare regelformuleringen (elk verdedigbaar):</w:t>
            </w:r>
          </w:p>
          <w:p>
            <w:pPr>
              <w:pStyle w:val="ListParagraph"/>
              <w:numPr>
                <w:ilvl w:val="0"/>
                <w:numId w:val="2"/>
              </w:numPr>
              <w:spacing w:after="90"/>
            </w:pPr>
            <w:r>
              <w:rPr>
                <w:color w:val="1F2937"/>
                <w:sz w:val="20"/>
                <w:szCs w:val="20"/>
              </w:rPr>
              <w:t xml:space="preserve">Gesloten, met één uitzondering: pure leesacties zonder domeinregels mogen de gegevenstoegang rechtstreeks aanroepen via een expliciet als zodanig benoemd leesmodel. Dit is de meest gebruikte variant en de opmaat naar CQRS in niveau 2.</w:t>
            </w:r>
          </w:p>
          <w:p>
            <w:pPr>
              <w:pStyle w:val="ListParagraph"/>
              <w:numPr>
                <w:ilvl w:val="0"/>
                <w:numId w:val="2"/>
              </w:numPr>
              <w:spacing w:after="90"/>
            </w:pPr>
            <w:r>
              <w:rPr>
                <w:color w:val="1F2937"/>
                <w:sz w:val="20"/>
                <w:szCs w:val="20"/>
              </w:rPr>
              <w:t xml:space="preserve">Volledig gesloten; leesprestaties worden opgelost binnen de gegevenstoegangslaag met een leesgericht model, niet met laagoverslag. Strenger, meer doorgeefwerk, maar één regel zonder uitzondering.</w:t>
            </w:r>
          </w:p>
          <w:p>
            <w:pPr>
              <w:spacing w:after="120" w:line="270"/>
            </w:pPr>
            <w:r>
              <w:rPr>
                <w:b/>
                <w:bCs/>
                <w:color w:val="1F2937"/>
                <w:sz w:val="20"/>
                <w:szCs w:val="20"/>
              </w:rPr>
              <w:t xml:space="preserve">Wat níét werkt: </w:t>
            </w:r>
            <w:r>
              <w:rPr>
                <w:color w:val="1F2937"/>
                <w:sz w:val="20"/>
                <w:szCs w:val="20"/>
              </w:rPr>
              <w:t xml:space="preserve">"in principe gesloten, tenzij het niet anders kan". Dat is geen regel maar een vrijbrief, en het is precies wat er in Mutatie 1.0 gebeurde. De toets is of een ontwikkelaar hem morgen kan toepassen zonder u te vragen.</w:t>
            </w:r>
          </w:p>
          <w:p>
            <w:pPr>
              <w:spacing w:after="60" w:before="100"/>
            </w:pPr>
            <w:r>
              <w:rPr>
                <w:b/>
                <w:bCs/>
                <w:color w:val="1F3A5F"/>
                <w:sz w:val="20"/>
                <w:szCs w:val="20"/>
              </w:rPr>
              <w:t xml:space="preserve">d)</w:t>
            </w:r>
          </w:p>
          <w:p>
            <w:pPr>
              <w:spacing w:after="120" w:line="270"/>
            </w:pPr>
            <w:r>
              <w:rPr>
                <w:color w:val="1F2937"/>
                <w:sz w:val="20"/>
                <w:szCs w:val="20"/>
              </w:rPr>
              <w:t xml:space="preserve">Bij sluiten: naar schatting drie tot vijf doorgeefluikcomponenten, elk goedkoop maar niet gratis in onderhoud. Bij openen: u geeft de belofte op dat een wijziging in de gegevenstoegang de presentatie niet kan breken — en dat is precies de belofte waarvan de waarde pas blijkt op het moment dat u de opslag wilt vervangen.</w:t>
            </w:r>
          </w:p>
        </w:tc>
      </w:tr>
    </w:tbl>
    <w:p>
      <w:pPr>
        <w:pStyle w:val="Heading1"/>
        <w:pBdr>
          <w:bottom w:val="single" w:color="E5E7EB" w:sz="6" w:space="6"/>
        </w:pBdr>
        <w:spacing w:after="180" w:before="380"/>
      </w:pPr>
      <w:r>
        <w:rPr>
          <w:b/>
          <w:bCs/>
          <w:color w:val="1F3A5F"/>
          <w:sz w:val="30"/>
          <w:szCs w:val="30"/>
        </w:rPr>
        <w:t xml:space="preserve">Opdracht 4.3 — Het hexagoon tekenen (groepen van vier, 40 minuten)</w:t>
      </w:r>
    </w:p>
    <w:p>
      <w:pPr>
        <w:spacing w:after="160" w:line="276"/>
      </w:pPr>
      <w:r>
        <w:rPr>
          <w:color w:val="1F2937"/>
          <w:sz w:val="22"/>
          <w:szCs w:val="22"/>
        </w:rPr>
        <w:t xml:space="preserve">Teken de hexagonale architectuur voor Mutatie 2.0. Gebruik bijlage J en uw hoofdindeling uit opdracht 3.3.</w:t>
      </w:r>
    </w:p>
    <w:p>
      <w:pPr>
        <w:spacing w:after="120" w:line="270"/>
      </w:pPr>
      <w:r>
        <w:rPr>
          <w:b/>
          <w:bCs/>
          <w:color w:val="1F2937"/>
          <w:sz w:val="20"/>
          <w:szCs w:val="20"/>
        </w:rPr>
        <w:t xml:space="preserve">a) </w:t>
      </w:r>
      <w:r>
        <w:rPr>
          <w:color w:val="1F2937"/>
          <w:sz w:val="20"/>
          <w:szCs w:val="20"/>
        </w:rPr>
        <w:t xml:space="preserve">Bepaal wat er in de kern zit. Wees streng: de toets is of het er ook zou zijn als het systeem op papier werd uitgevoerd.</w:t>
      </w:r>
    </w:p>
    <w:p>
      <w:pPr>
        <w:spacing w:after="120" w:line="270"/>
      </w:pPr>
      <w:r>
        <w:rPr>
          <w:b/>
          <w:bCs/>
          <w:color w:val="1F2937"/>
          <w:sz w:val="20"/>
          <w:szCs w:val="20"/>
        </w:rPr>
        <w:t xml:space="preserve">b) </w:t>
      </w:r>
      <w:r>
        <w:rPr>
          <w:color w:val="1F2937"/>
          <w:sz w:val="20"/>
          <w:szCs w:val="20"/>
        </w:rPr>
        <w:t xml:space="preserve">Benoem de aandrijvende poorten met de adapters die erop aansluiten.</w:t>
      </w:r>
    </w:p>
    <w:p>
      <w:pPr>
        <w:spacing w:after="120" w:line="270"/>
      </w:pPr>
      <w:r>
        <w:rPr>
          <w:b/>
          <w:bCs/>
          <w:color w:val="1F2937"/>
          <w:sz w:val="20"/>
          <w:szCs w:val="20"/>
        </w:rPr>
        <w:t xml:space="preserve">c) </w:t>
      </w:r>
      <w:r>
        <w:rPr>
          <w:color w:val="1F2937"/>
          <w:sz w:val="20"/>
          <w:szCs w:val="20"/>
        </w:rPr>
        <w:t xml:space="preserve">Benoem de aangedreven poorten met hun adapters. Voor elke aangedreven poort: formuleer het contract in één zin, in domeintaal.</w:t>
      </w:r>
    </w:p>
    <w:p>
      <w:pPr>
        <w:spacing w:after="120" w:line="270"/>
      </w:pPr>
      <w:r>
        <w:rPr>
          <w:b/>
          <w:bCs/>
          <w:color w:val="1F2937"/>
          <w:sz w:val="20"/>
          <w:szCs w:val="20"/>
        </w:rPr>
        <w:t xml:space="preserve">d) </w:t>
      </w:r>
      <w:r>
        <w:rPr>
          <w:color w:val="1F2937"/>
          <w:sz w:val="20"/>
          <w:szCs w:val="20"/>
        </w:rPr>
        <w:t xml:space="preserve">Teken alle afhankelijkheidspijlen. Controleer: wijst er ook maar één pijl vanuit de kern naar buiten? Zo ja, herstel of verantwoord.</w:t>
      </w:r>
    </w:p>
    <w:p>
      <w:pPr>
        <w:spacing w:after="120" w:line="270"/>
      </w:pPr>
      <w:r>
        <w:rPr>
          <w:b/>
          <w:bCs/>
          <w:color w:val="1F2937"/>
          <w:sz w:val="20"/>
          <w:szCs w:val="20"/>
        </w:rPr>
        <w:t xml:space="preserve">e) De moeilijke vraag. </w:t>
      </w:r>
      <w:r>
        <w:rPr>
          <w:color w:val="1F2937"/>
          <w:sz w:val="20"/>
          <w:szCs w:val="20"/>
        </w:rPr>
        <w:t xml:space="preserve">Waar plaatst u de reglementslogica die de ingangsdatum van een mutatie berekent op basis van het pensioenreglement — logica die per werkgever verschilt en die uit een tabel komt die de administratie onderhoudt? Kern, adapter, of iets ertussenin? Verdedig uw keuze.</w:t>
      </w:r>
    </w:p>
    <w:p>
      <w:pPr>
        <w:spacing w:after="160" w:line="276"/>
      </w:pPr>
      <w:r>
        <w:rPr>
          <w:color w:val="1F2937"/>
          <w:sz w:val="22"/>
          <w:szCs w:val="22"/>
        </w:rPr>
        <w:t xml:space="preserve">Presenteer c)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0"/>
            </w:pPr>
            <w:r>
              <w:rPr>
                <w:b/>
                <w:bCs/>
                <w:color w:val="1F2937"/>
                <w:sz w:val="20"/>
                <w:szCs w:val="20"/>
              </w:rPr>
              <w:t xml:space="preserve">a) In de kern: </w:t>
            </w:r>
            <w:r>
              <w:rPr>
                <w:color w:val="1F2937"/>
                <w:sz w:val="20"/>
                <w:szCs w:val="20"/>
              </w:rPr>
              <w:t xml:space="preserve">de mutatiesoorten met hun regels (welke gegevens vereist, welke controles, welke statusovergangen), de reglementaire berekeningen (ingangsdatums, termijnen), de goedkeuringsregels (welke mutatie vraagt vierogen), en de mutatiegeschiedenis als domeinbegrip.</w:t>
            </w:r>
          </w:p>
          <w:p>
            <w:pPr>
              <w:spacing w:after="120" w:line="270"/>
            </w:pPr>
            <w:r>
              <w:rPr>
                <w:b/>
                <w:bCs/>
                <w:color w:val="1F2937"/>
                <w:sz w:val="20"/>
                <w:szCs w:val="20"/>
              </w:rPr>
              <w:t xml:space="preserve">Niet in de kern: </w:t>
            </w:r>
            <w:r>
              <w:rPr>
                <w:color w:val="1F2937"/>
                <w:sz w:val="20"/>
                <w:szCs w:val="20"/>
              </w:rPr>
              <w:t xml:space="preserve">schermopmaak, SOAP, bestandsformaten van werkgeversaanleveringen, de postcodedienst, e-mailverzending, de databasestructuur, autorisatietokens.</w:t>
            </w:r>
          </w:p>
          <w:p>
            <w:pPr>
              <w:spacing w:after="120" w:line="270"/>
            </w:pPr>
            <w:r>
              <w:rPr>
                <w:b/>
                <w:bCs/>
                <w:color w:val="1F2937"/>
                <w:sz w:val="20"/>
                <w:szCs w:val="20"/>
              </w:rPr>
              <w:t xml:space="preserve">Grensgeval dat elke groep tegenkomt: statusoverzicht. </w:t>
            </w:r>
            <w:r>
              <w:rPr>
                <w:color w:val="1F2937"/>
                <w:sz w:val="20"/>
                <w:szCs w:val="20"/>
              </w:rPr>
              <w:t xml:space="preserve">Het antwoord is dat de statusovergangen domein zijn en de presentatie van het overzicht adapter. Groepen die het hele statusoverzicht in de kern plaatsen, hebben de toets uit a) niet toegepast.</w:t>
            </w:r>
          </w:p>
          <w:p>
            <w:pPr>
              <w:spacing w:after="120" w:line="270"/>
            </w:pPr>
            <w:r>
              <w:rPr>
                <w:b/>
                <w:bCs/>
                <w:color w:val="1F2937"/>
                <w:sz w:val="20"/>
                <w:szCs w:val="20"/>
              </w:rPr>
              <w:t xml:space="preserve">b) Aandrijvende poorten: </w:t>
            </w:r>
            <w:r>
              <w:rPr>
                <w:color w:val="1F2937"/>
                <w:sz w:val="20"/>
                <w:szCs w:val="20"/>
              </w:rPr>
              <w:t xml:space="preserve">"mutatie indienen", "mutatie goedkeuren", "mutatiestatus opvragen", "mutatie corrigeren". Adapters: zelfbedieningsportaal, behandelaarsscherm, werkgeversbatch, en (in niveau 2) een API voor werkgeverssystemen.</w:t>
            </w:r>
          </w:p>
          <w:p>
            <w:pPr>
              <w:spacing w:after="120" w:line="270"/>
            </w:pPr>
            <w:r>
              <w:rPr>
                <w:color w:val="1F2937"/>
                <w:sz w:val="20"/>
                <w:szCs w:val="20"/>
              </w:rPr>
              <w:t xml:space="preserve">Het inzicht dat hier moet vallen: drie kanalen, één domeinbewerking. In Mutatie 1.0 had elk kanaal zijn eigen verwerkingslogica, met als gevolg dat de regels per kanaal verschilden.</w:t>
            </w:r>
          </w:p>
          <w:p>
            <w:pPr>
              <w:spacing w:after="60" w:before="100"/>
            </w:pPr>
            <w:r>
              <w:rPr>
                <w:b/>
                <w:bCs/>
                <w:color w:val="1F3A5F"/>
                <w:sz w:val="20"/>
                <w:szCs w:val="20"/>
              </w:rPr>
              <w:t xml:space="preserve">c) Aangedreven poorten, met contract in één zin:</w:t>
            </w:r>
          </w:p>
          <w:tbl>
            <w:tblPr>
              <w:tblW w:type="dxa" w:w="92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6600"/>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Poort</w:t>
                  </w:r>
                </w:p>
              </w:tc>
              <w:tc>
                <w:tcPr>
                  <w:tcW w:type="dxa" w:w="6600"/>
                  <w:shd w:fill="1F3A5F" w:val="clear"/>
                  <w:tcMar>
                    <w:top w:type="dxa" w:w="100"/>
                    <w:left w:type="dxa" w:w="120"/>
                    <w:bottom w:type="dxa" w:w="100"/>
                    <w:right w:type="dxa" w:w="120"/>
                  </w:tcMar>
                  <w:vAlign w:val="center"/>
                </w:tcPr>
                <w:p>
                  <w:r>
                    <w:rPr>
                      <w:b/>
                      <w:bCs/>
                      <w:color w:val="FFFFFF"/>
                      <w:sz w:val="19"/>
                      <w:szCs w:val="19"/>
                    </w:rPr>
                    <w:t xml:space="preserve">Contract</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Doorgifte kernadministratie</w:t>
                  </w:r>
                </w:p>
              </w:tc>
              <w:tc>
                <w:tcPr>
                  <w:tcW w:type="dxa" w:w="6600"/>
                  <w:tcMar>
                    <w:top w:type="dxa" w:w="100"/>
                    <w:left w:type="dxa" w:w="120"/>
                    <w:bottom w:type="dxa" w:w="100"/>
                    <w:right w:type="dxa" w:w="120"/>
                  </w:tcMar>
                  <w:vAlign w:val="center"/>
                </w:tcPr>
                <w:p>
                  <w:r>
                    <w:rPr>
                      <w:b w:val="false"/>
                      <w:bCs w:val="false"/>
                      <w:color w:val="1F2937"/>
                      <w:sz w:val="19"/>
                      <w:szCs w:val="19"/>
                    </w:rPr>
                    <w:t xml:space="preserve">Een aanvaarde mutatie wordt uiteindelijk precies één keer doorgegeven en de aanbieder verneemt wanneer dat is gelukt.</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Adrescontrole</w:t>
                  </w:r>
                </w:p>
              </w:tc>
              <w:tc>
                <w:tcPr>
                  <w:tcW w:type="dxa" w:w="6600"/>
                  <w:tcMar>
                    <w:top w:type="dxa" w:w="100"/>
                    <w:left w:type="dxa" w:w="120"/>
                    <w:bottom w:type="dxa" w:w="100"/>
                    <w:right w:type="dxa" w:w="120"/>
                  </w:tcMar>
                  <w:vAlign w:val="center"/>
                </w:tcPr>
                <w:p>
                  <w:r>
                    <w:rPr>
                      <w:b w:val="false"/>
                      <w:bCs w:val="false"/>
                      <w:color w:val="1F2937"/>
                      <w:sz w:val="19"/>
                      <w:szCs w:val="19"/>
                    </w:rPr>
                    <w:t xml:space="preserve">Voor een opgegeven adres wordt vastgesteld of het bestaat en welke landstatus het heeft.</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Gebeurtenisopslag</w:t>
                  </w:r>
                </w:p>
              </w:tc>
              <w:tc>
                <w:tcPr>
                  <w:tcW w:type="dxa" w:w="6600"/>
                  <w:tcMar>
                    <w:top w:type="dxa" w:w="100"/>
                    <w:left w:type="dxa" w:w="120"/>
                    <w:bottom w:type="dxa" w:w="100"/>
                    <w:right w:type="dxa" w:w="120"/>
                  </w:tcMar>
                  <w:vAlign w:val="center"/>
                </w:tcPr>
                <w:p>
                  <w:r>
                    <w:rPr>
                      <w:b w:val="false"/>
                      <w:bCs w:val="false"/>
                      <w:color w:val="1F2937"/>
                      <w:sz w:val="19"/>
                      <w:szCs w:val="19"/>
                    </w:rPr>
                    <w:t xml:space="preserve">Elke gebeurtenis wordt onveranderlijk vastgelegd en is op deelnemer en tijdvak terug te vinden.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Berichtgeving</w:t>
                  </w:r>
                </w:p>
              </w:tc>
              <w:tc>
                <w:tcPr>
                  <w:tcW w:type="dxa" w:w="6600"/>
                  <w:tcMar>
                    <w:top w:type="dxa" w:w="100"/>
                    <w:left w:type="dxa" w:w="120"/>
                    <w:bottom w:type="dxa" w:w="100"/>
                    <w:right w:type="dxa" w:w="120"/>
                  </w:tcMar>
                  <w:vAlign w:val="center"/>
                </w:tcPr>
                <w:p>
                  <w:r>
                    <w:rPr>
                      <w:b w:val="false"/>
                      <w:bCs w:val="false"/>
                      <w:color w:val="1F2937"/>
                      <w:sz w:val="19"/>
                      <w:szCs w:val="19"/>
                    </w:rPr>
                    <w:t xml:space="preserve">Een deelnemer wordt over een gebeurtenis geïnformeerd via zijn voorkeurskanaal.</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Tijd</w:t>
                  </w:r>
                </w:p>
              </w:tc>
              <w:tc>
                <w:tcPr>
                  <w:tcW w:type="dxa" w:w="6600"/>
                  <w:tcMar>
                    <w:top w:type="dxa" w:w="100"/>
                    <w:left w:type="dxa" w:w="120"/>
                    <w:bottom w:type="dxa" w:w="100"/>
                    <w:right w:type="dxa" w:w="120"/>
                  </w:tcMar>
                  <w:vAlign w:val="center"/>
                </w:tcPr>
                <w:p>
                  <w:r>
                    <w:rPr>
                      <w:b w:val="false"/>
                      <w:bCs w:val="false"/>
                      <w:color w:val="1F2937"/>
                      <w:sz w:val="19"/>
                      <w:szCs w:val="19"/>
                    </w:rPr>
                    <w:t xml:space="preserve">De actuele peildatum is opvraagbaar.</w:t>
                  </w:r>
                </w:p>
              </w:tc>
            </w:tr>
          </w:tbl>
          <w:p>
            <w:pPr>
              <w:spacing w:after="160"/>
            </w:pPr>
          </w:p>
          <w:p>
            <w:pPr>
              <w:spacing w:after="120" w:line="270"/>
            </w:pPr>
            <w:r>
              <w:rPr>
                <w:color w:val="1F2937"/>
                <w:sz w:val="20"/>
                <w:szCs w:val="20"/>
              </w:rPr>
              <w:t xml:space="preserve">De laatste verrast deelnemers. Tijd is een externe afhankelijkheid, en een domein dat rechtstreeks de systeemklok leest, is niet testbaar op peildatumlogica — een reëel probleem bij pensioenuitvoering, waar het gedrag afhangt van datums die je in een test wilt kunnen kiezen.</w:t>
            </w:r>
          </w:p>
          <w:p>
            <w:pPr>
              <w:spacing w:after="120" w:line="270"/>
            </w:pPr>
            <w:r>
              <w:rPr>
                <w:b/>
                <w:bCs/>
                <w:color w:val="1F2937"/>
                <w:sz w:val="20"/>
                <w:szCs w:val="20"/>
              </w:rPr>
              <w:t xml:space="preserve">d) </w:t>
            </w:r>
            <w:r>
              <w:rPr>
                <w:color w:val="1F2937"/>
                <w:sz w:val="20"/>
                <w:szCs w:val="20"/>
              </w:rPr>
              <w:t xml:space="preserve">Alle pijlen naar binnen. Meest voorkomende fout: een pijl van de kern naar de kernadministratie-adapter, omdat "het domein die toch aanroept". Het domein roept de poort aan, die het zelf definieert; de adapter implementeert die poort en hangt dus van de kern af. Als een groep dit niet ziet, teken dan de poort expliciet als apart element op de rand van het hexagoon.</w:t>
            </w:r>
          </w:p>
          <w:p>
            <w:pPr>
              <w:spacing w:after="120" w:line="270"/>
            </w:pPr>
            <w:r>
              <w:rPr>
                <w:b/>
                <w:bCs/>
                <w:color w:val="1F2937"/>
                <w:sz w:val="20"/>
                <w:szCs w:val="20"/>
              </w:rPr>
              <w:t xml:space="preserve">e) De moeilijke vraag. </w:t>
            </w:r>
            <w:r>
              <w:rPr>
                <w:color w:val="1F2937"/>
                <w:sz w:val="20"/>
                <w:szCs w:val="20"/>
              </w:rPr>
              <w:t xml:space="preserve">Dit is de beste discussie van het dagdeel en er is geen enkel juist antwoord. Drie verdedigbare posities:</w:t>
            </w:r>
          </w:p>
          <w:p>
            <w:pPr>
              <w:pStyle w:val="ListParagraph"/>
              <w:numPr>
                <w:ilvl w:val="0"/>
                <w:numId w:val="3"/>
              </w:numPr>
              <w:spacing w:after="120"/>
            </w:pPr>
            <w:r>
              <w:rPr>
                <w:b/>
                <w:bCs/>
                <w:color w:val="1F2937"/>
                <w:sz w:val="22"/>
                <w:szCs w:val="22"/>
              </w:rPr>
              <w:t xml:space="preserve">Kern, met de tabel als aangedreven poort.</w:t>
            </w:r>
            <w:r>
              <w:rPr>
                <w:color w:val="1F2937"/>
                <w:sz w:val="22"/>
                <w:szCs w:val="22"/>
              </w:rPr>
              <w:t xml:space="preserve"> De berekeningsregel is domein; de per-werkgever-parameters komen binnen via een poort ("geef de reglementsparameters van werkgever X op peildatum Y"). Dit is de zuiverste vorm en meestal het beste antwoord.</w:t>
            </w:r>
          </w:p>
          <w:p>
            <w:pPr>
              <w:pStyle w:val="ListParagraph"/>
              <w:numPr>
                <w:ilvl w:val="0"/>
                <w:numId w:val="3"/>
              </w:numPr>
              <w:spacing w:after="120"/>
            </w:pPr>
            <w:r>
              <w:rPr>
                <w:b/>
                <w:bCs/>
                <w:color w:val="1F2937"/>
                <w:sz w:val="22"/>
                <w:szCs w:val="22"/>
              </w:rPr>
              <w:t xml:space="preserve">Kern, inclusief de tabel.</w:t>
            </w:r>
            <w:r>
              <w:rPr>
                <w:color w:val="1F2937"/>
                <w:sz w:val="22"/>
                <w:szCs w:val="22"/>
              </w:rPr>
              <w:t xml:space="preserve"> Verdedigbaar als de parameters zelden wijzigen en beheerd worden door dezelfde partij die het domein bezit. Nadeel: elke reglementswijziging wordt een softwarewijziging.</w:t>
            </w:r>
          </w:p>
          <w:p>
            <w:pPr>
              <w:pStyle w:val="ListParagraph"/>
              <w:numPr>
                <w:ilvl w:val="0"/>
                <w:numId w:val="3"/>
              </w:numPr>
              <w:spacing w:after="120"/>
            </w:pPr>
            <w:r>
              <w:rPr>
                <w:b/>
                <w:bCs/>
                <w:color w:val="1F2937"/>
                <w:sz w:val="22"/>
                <w:szCs w:val="22"/>
              </w:rPr>
              <w:t xml:space="preserve">Adapter, met de kern die alleen een uitkomst ontvangt.</w:t>
            </w:r>
            <w:r>
              <w:rPr>
                <w:color w:val="1F2937"/>
                <w:sz w:val="22"/>
                <w:szCs w:val="22"/>
              </w:rPr>
              <w:t xml:space="preserve"> Verdedigbaar als de berekening in werkelijkheid door de kernadministratie wordt gedaan en het platform hem alleen overneemt. Nadeel: de belangrijkste regel van het systeem leeft buiten het systeem.</w:t>
            </w:r>
          </w:p>
          <w:p>
            <w:pPr>
              <w:spacing w:after="120" w:line="270"/>
            </w:pPr>
            <w:r>
              <w:rPr>
                <w:b/>
                <w:bCs/>
                <w:color w:val="1F2937"/>
                <w:sz w:val="20"/>
                <w:szCs w:val="20"/>
              </w:rPr>
              <w:t xml:space="preserve">De vraag die het onderscheid maakt: </w:t>
            </w:r>
            <w:r>
              <w:rPr>
                <w:color w:val="1F2937"/>
                <w:sz w:val="20"/>
                <w:szCs w:val="20"/>
              </w:rPr>
              <w:t xml:space="preserve">wie is eigenaar van de regel, en om welke reden verandert hij? Dat is de cohesietoets uit deel 3, nu op stijlniveau. Groepen die deze koppeling zelf leggen, hebben de cursuslijn te pakken.</w:t>
            </w:r>
          </w:p>
        </w:tc>
      </w:tr>
    </w:tbl>
    <w:p>
      <w:pPr>
        <w:pStyle w:val="Heading1"/>
        <w:pBdr>
          <w:bottom w:val="single" w:color="E5E7EB" w:sz="6" w:space="6"/>
        </w:pBdr>
        <w:spacing w:after="180" w:before="380"/>
      </w:pPr>
      <w:r>
        <w:rPr>
          <w:b/>
          <w:bCs/>
          <w:color w:val="1F3A5F"/>
          <w:sz w:val="30"/>
          <w:szCs w:val="30"/>
        </w:rPr>
        <w:t xml:space="preserve">Opdracht 4.4 — De batch als pipeline (duo's, 25 minuten)</w:t>
      </w:r>
    </w:p>
    <w:p>
      <w:pPr>
        <w:spacing w:after="160" w:line="276"/>
      </w:pPr>
      <w:r>
        <w:rPr>
          <w:color w:val="1F2937"/>
          <w:sz w:val="22"/>
          <w:szCs w:val="22"/>
        </w:rPr>
        <w:t xml:space="preserve">Bijlage L beschrijft de nachtelijke werkgeversbatch zoals hij in Mutatie 1.0 werkte.</w:t>
      </w:r>
    </w:p>
    <w:p>
      <w:pPr>
        <w:spacing w:after="120" w:line="270"/>
      </w:pPr>
      <w:r>
        <w:rPr>
          <w:b/>
          <w:bCs/>
          <w:color w:val="1F2937"/>
          <w:sz w:val="20"/>
          <w:szCs w:val="20"/>
        </w:rPr>
        <w:t xml:space="preserve">a) </w:t>
      </w:r>
      <w:r>
        <w:rPr>
          <w:color w:val="1F2937"/>
          <w:sz w:val="20"/>
          <w:szCs w:val="20"/>
        </w:rPr>
        <w:t xml:space="preserve">Herteken de batch als pipes &amp; filters. Benoem de filters en wat elk filter in- en uitvoert.</w:t>
      </w:r>
    </w:p>
    <w:p>
      <w:pPr>
        <w:spacing w:after="120" w:line="270"/>
      </w:pPr>
      <w:r>
        <w:rPr>
          <w:b/>
          <w:bCs/>
          <w:color w:val="1F2937"/>
          <w:sz w:val="20"/>
          <w:szCs w:val="20"/>
        </w:rPr>
        <w:t xml:space="preserve">b) </w:t>
      </w:r>
      <w:r>
        <w:rPr>
          <w:color w:val="1F2937"/>
          <w:sz w:val="20"/>
          <w:szCs w:val="20"/>
        </w:rPr>
        <w:t xml:space="preserve">Bepaal per filter of hij kan blijven doorwerken bij een fout in één record of niet. Motiveer.</w:t>
      </w:r>
    </w:p>
    <w:p>
      <w:pPr>
        <w:spacing w:after="120" w:line="270"/>
      </w:pPr>
      <w:r>
        <w:rPr>
          <w:b/>
          <w:bCs/>
          <w:color w:val="1F2937"/>
          <w:sz w:val="20"/>
          <w:szCs w:val="20"/>
        </w:rPr>
        <w:t xml:space="preserve">c) </w:t>
      </w:r>
      <w:r>
        <w:rPr>
          <w:color w:val="1F2937"/>
          <w:sz w:val="20"/>
          <w:szCs w:val="20"/>
        </w:rPr>
        <w:t xml:space="preserve">Formuleer de foutstrategie voor de hele keten, met een expliciet antwoord op: wat gebeurt er met een batch van 4.000 waarvan er 12 ongeldig zijn? Wie krijgt wat te zien, en binnen welke termijn?</w:t>
      </w:r>
    </w:p>
    <w:p>
      <w:pPr>
        <w:spacing w:after="120" w:line="270"/>
      </w:pPr>
      <w:r>
        <w:rPr>
          <w:b/>
          <w:bCs/>
          <w:color w:val="1F2937"/>
          <w:sz w:val="20"/>
          <w:szCs w:val="20"/>
        </w:rPr>
        <w:t xml:space="preserve">d) </w:t>
      </w:r>
      <w:r>
        <w:rPr>
          <w:color w:val="1F2937"/>
          <w:sz w:val="20"/>
          <w:szCs w:val="20"/>
        </w:rPr>
        <w:t xml:space="preserve">Het nachtvenster loopt van 01:00 tot 05:00 (QS-6). Eén filter — de verrijking met deelnemersgegevens uit de kernadministratie — is verreweg het traagst, want hij is gebonden aan de limiet van 20 aanroepen per seconde. Reken uit hoe lang 4.000 verrijkingen duren bij die limiet. Past het? Wat doet u als het niet past?</w:t>
      </w:r>
    </w:p>
    <w:p>
      <w:pPr>
        <w:spacing w:after="160" w:line="276"/>
      </w:pPr>
      <w:r>
        <w:rPr>
          <w:color w:val="1F2937"/>
          <w:sz w:val="22"/>
          <w:szCs w:val="22"/>
        </w:rPr>
        <w:t xml:space="preserve">Onderdeel d) is een rekensom van dertig seconden en het is het belangrijkste onderdeel van deze opdracht.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0"/>
            </w:pPr>
            <w:r>
              <w:rPr>
                <w:b/>
                <w:bCs/>
                <w:color w:val="1F2937"/>
                <w:sz w:val="20"/>
                <w:szCs w:val="20"/>
              </w:rPr>
              <w:t xml:space="preserve">a) Filters: </w:t>
            </w:r>
            <w:r>
              <w:rPr>
                <w:color w:val="1F2937"/>
                <w:sz w:val="20"/>
                <w:szCs w:val="20"/>
              </w:rPr>
              <w:t xml:space="preserve">inlezen en ontpakken → formaatcontrole per record → ontdubbeling binnen de batch → verrijking met deelnemersgegevens → inhoudelijke validatie tegen reglement → doorgifte naar de kernadministratie → rapportage terug aan de werkgever.</w:t>
            </w:r>
          </w:p>
          <w:p>
            <w:pPr>
              <w:spacing w:after="120" w:line="270"/>
            </w:pPr>
            <w:r>
              <w:rPr>
                <w:b/>
                <w:bCs/>
                <w:color w:val="1F2937"/>
                <w:sz w:val="20"/>
                <w:szCs w:val="20"/>
              </w:rPr>
              <w:t xml:space="preserve">b) </w:t>
            </w:r>
            <w:r>
              <w:rPr>
                <w:color w:val="1F2937"/>
                <w:sz w:val="20"/>
                <w:szCs w:val="20"/>
              </w:rPr>
              <w:t xml:space="preserve">Formaatcontrole, verrijking en inhoudelijke validatie kunnen per record doorwerken bij een fout: het foute record gaat opzij, de rest gaat door. Ontdubbeling niet zonder meer — die kijkt over records heen, en een fout record kan een duplicaat verbergen. Doorgifte kan per record doorwerken, maar vraagt dan wel dat de rapportage per record terugkoppelt.</w:t>
            </w:r>
          </w:p>
          <w:p>
            <w:pPr>
              <w:spacing w:after="120" w:line="270"/>
            </w:pPr>
            <w:r>
              <w:rPr>
                <w:b/>
                <w:bCs/>
                <w:color w:val="1F2937"/>
                <w:sz w:val="20"/>
                <w:szCs w:val="20"/>
              </w:rPr>
              <w:t xml:space="preserve">c) Foutstrategie. </w:t>
            </w:r>
            <w:r>
              <w:rPr>
                <w:color w:val="1F2937"/>
                <w:sz w:val="20"/>
                <w:szCs w:val="20"/>
              </w:rPr>
              <w:t xml:space="preserve">De werkbare variant: de 12 ongeldige records gaan naar een uitvalbestand, de 3.988 worden verwerkt, en de werkgever ontvangt in dezelfde ochtendrapportage een specificatie per afgekeurd record met reden en correctie-instructie. Termijn: de rapportage is beschikbaar voor 07:00, zodat de werkgever dezelfde dag kan corrigeren.</w:t>
            </w:r>
          </w:p>
          <w:p>
            <w:pPr>
              <w:spacing w:after="120" w:line="270"/>
            </w:pPr>
            <w:r>
              <w:rPr>
                <w:color w:val="1F2937"/>
                <w:sz w:val="20"/>
                <w:szCs w:val="20"/>
              </w:rPr>
              <w:t xml:space="preserve">Twee dingen die vaak vergeten worden en die de opdracht wil uitlokken:</w:t>
            </w:r>
          </w:p>
          <w:p>
            <w:pPr>
              <w:pStyle w:val="ListParagraph"/>
              <w:numPr>
                <w:ilvl w:val="0"/>
                <w:numId w:val="4"/>
              </w:numPr>
              <w:spacing w:after="120"/>
            </w:pPr>
            <w:r>
              <w:rPr>
                <w:b/>
                <w:bCs/>
                <w:color w:val="1F2937"/>
                <w:sz w:val="22"/>
                <w:szCs w:val="22"/>
              </w:rPr>
              <w:t xml:space="preserve">een drempel</w:t>
            </w:r>
            <w:r>
              <w:rPr>
                <w:color w:val="1F2937"/>
                <w:sz w:val="22"/>
                <w:szCs w:val="22"/>
              </w:rPr>
              <w:t xml:space="preserve"> — als meer dan bijvoorbeeld 10% uitvalt, is er waarschijnlijk iets structureel mis met de aanlevering en moet de hele batch worden gestopt in plaats van 90% verwerkt;</w:t>
            </w:r>
          </w:p>
          <w:p>
            <w:pPr>
              <w:pStyle w:val="ListParagraph"/>
              <w:numPr>
                <w:ilvl w:val="0"/>
                <w:numId w:val="4"/>
              </w:numPr>
              <w:spacing w:after="120"/>
            </w:pPr>
            <w:r>
              <w:rPr>
                <w:b/>
                <w:bCs/>
                <w:color w:val="1F2937"/>
                <w:sz w:val="22"/>
                <w:szCs w:val="22"/>
              </w:rPr>
              <w:t xml:space="preserve">wie er kijkt</w:t>
            </w:r>
            <w:r>
              <w:rPr>
                <w:color w:val="1F2937"/>
                <w:sz w:val="22"/>
                <w:szCs w:val="22"/>
              </w:rPr>
              <w:t xml:space="preserve"> — een uitvalbestand dat niemand opent, is geen foutafhandeling.</w:t>
            </w:r>
          </w:p>
          <w:p>
            <w:pPr>
              <w:spacing w:after="120" w:line="270"/>
            </w:pPr>
            <w:r>
              <w:rPr>
                <w:b/>
                <w:bCs/>
                <w:color w:val="1F2937"/>
                <w:sz w:val="20"/>
                <w:szCs w:val="20"/>
              </w:rPr>
              <w:t xml:space="preserve">d) De rekensom. </w:t>
            </w:r>
            <w:r>
              <w:rPr>
                <w:color w:val="1F2937"/>
                <w:sz w:val="20"/>
                <w:szCs w:val="20"/>
              </w:rPr>
              <w:t xml:space="preserve">4.000 verrijkingen bij 20 aanroepen per seconde = 200 seconden, ruim drie minuten. Het past ruimschoots in het venster van vier uur.</w:t>
            </w:r>
          </w:p>
          <w:p>
            <w:pPr>
              <w:spacing w:after="120" w:line="270"/>
            </w:pPr>
            <w:r>
              <w:rPr>
                <w:b/>
                <w:bCs/>
                <w:color w:val="1F2937"/>
                <w:sz w:val="20"/>
                <w:szCs w:val="20"/>
              </w:rPr>
              <w:t xml:space="preserve">Dit is precies het punt van de opdracht. </w:t>
            </w:r>
            <w:r>
              <w:rPr>
                <w:color w:val="1F2937"/>
                <w:sz w:val="20"/>
                <w:szCs w:val="20"/>
              </w:rPr>
              <w:t xml:space="preserve">De meeste deelnemers verwachten dat het niet past, omdat de limiet van 20 per seconde in deel 2 als een ernstige beperking is geïntroduceerd. Voor batchverwerking is die limiet vrijwel irrelevant; voor interactieve verwerking bij 50 gelijktijdige gebruikers is hij beslissend. Dezelfde randvoorwaarde is een blokkade in het ene scenario en een non-issue in het andere.</w:t>
            </w:r>
          </w:p>
          <w:p>
            <w:pPr>
              <w:spacing w:after="120" w:line="270"/>
            </w:pPr>
            <w:r>
              <w:rPr>
                <w:color w:val="1F2937"/>
                <w:sz w:val="20"/>
                <w:szCs w:val="20"/>
              </w:rPr>
              <w:t xml:space="preserve">Wie dit ziet, begrijpt waarom scenario's een omgeving bevatten (deel 2) en waarom een architectuurbeslissing altijd bij een scenario hoort. Wie het niet ziet, ontwerpt de batch alsof hij het interactieve probleem heeft — en bouwt onnodige complexiteit.</w:t>
            </w:r>
          </w:p>
          <w:p>
            <w:pPr>
              <w:spacing w:after="120" w:line="270"/>
            </w:pPr>
            <w:r>
              <w:rPr>
                <w:color w:val="1F2937"/>
                <w:sz w:val="20"/>
                <w:szCs w:val="20"/>
              </w:rPr>
              <w:t xml:space="preserve">Als het níét zou passen — bijvoorbeeld bij 400.000 records — dan zijn de opties: parallelliseren binnen de limiet (helpt niet, de limiet is de limiet), de verrijking uit de batch halen en op eigen gegevens doen, het venster verruimen, of met de leverancier onderhandelen over een bulkinterface. De laatste is meestal de goedkoopste en wordt het minst vaak genoemd.</w:t>
            </w:r>
          </w:p>
        </w:tc>
      </w:tr>
    </w:tbl>
    <w:p>
      <w:pPr>
        <w:pStyle w:val="Heading1"/>
        <w:pBdr>
          <w:bottom w:val="single" w:color="E5E7EB" w:sz="6" w:space="6"/>
        </w:pBdr>
        <w:spacing w:after="180" w:before="380"/>
      </w:pPr>
      <w:r>
        <w:rPr>
          <w:b/>
          <w:bCs/>
          <w:color w:val="1F3A5F"/>
          <w:sz w:val="30"/>
          <w:szCs w:val="30"/>
        </w:rPr>
        <w:t xml:space="preserve">Opdracht 4.5 — Stijlkeuze verdedigen tegen een tegenstander (rollenspel, 30 minuten)</w:t>
      </w:r>
    </w:p>
    <w:p>
      <w:pPr>
        <w:spacing w:after="160" w:line="276"/>
      </w:pPr>
      <w:r>
        <w:rPr>
          <w:color w:val="1F2937"/>
          <w:sz w:val="22"/>
          <w:szCs w:val="22"/>
        </w:rPr>
        <w:t xml:space="preserve">Groepen van vier: twee verdedigers, één tegenstander, één observator.</w:t>
      </w:r>
    </w:p>
    <w:p>
      <w:pPr>
        <w:spacing w:after="120" w:line="270"/>
      </w:pPr>
      <w:r>
        <w:rPr>
          <w:b/>
          <w:bCs/>
          <w:color w:val="1F2937"/>
          <w:sz w:val="20"/>
          <w:szCs w:val="20"/>
        </w:rPr>
        <w:t xml:space="preserve">De verdedigers </w:t>
      </w:r>
      <w:r>
        <w:rPr>
          <w:color w:val="1F2937"/>
          <w:sz w:val="20"/>
          <w:szCs w:val="20"/>
        </w:rPr>
        <w:t xml:space="preserve">hebben de hexagonale keuze uit de reader gemaakt en moeten hem verdedigen tegen de vier vragen uit paragraaf 4.2.</w:t>
      </w:r>
    </w:p>
    <w:p>
      <w:pPr>
        <w:spacing w:after="120" w:line="270"/>
      </w:pPr>
      <w:r>
        <w:rPr>
          <w:b/>
          <w:bCs/>
          <w:color w:val="1F2937"/>
          <w:sz w:val="20"/>
          <w:szCs w:val="20"/>
        </w:rPr>
        <w:t xml:space="preserve">De tegenstander </w:t>
      </w:r>
      <w:r>
        <w:rPr>
          <w:color w:val="1F2937"/>
          <w:sz w:val="20"/>
          <w:szCs w:val="20"/>
        </w:rPr>
        <w:t xml:space="preserve">is een ervaren teamlead met drie argumenten, die hij in deze volgorde inzet:</w:t>
      </w:r>
    </w:p>
    <w:p>
      <w:pPr>
        <w:pStyle w:val="ListParagraph"/>
        <w:numPr>
          <w:ilvl w:val="0"/>
          <w:numId w:val="5"/>
        </w:numPr>
        <w:spacing w:after="120"/>
      </w:pPr>
      <w:r>
        <w:rPr>
          <w:color w:val="1F2937"/>
          <w:sz w:val="22"/>
          <w:szCs w:val="22"/>
        </w:rPr>
        <w:t xml:space="preserve">"Dit is over-engineering. We hebben twee teams en één systeem. Gewoon gelaagd, iedereen kent het, morgen productief."</w:t>
      </w:r>
    </w:p>
    <w:p>
      <w:pPr>
        <w:pStyle w:val="ListParagraph"/>
        <w:numPr>
          <w:ilvl w:val="0"/>
          <w:numId w:val="5"/>
        </w:numPr>
        <w:spacing w:after="120"/>
      </w:pPr>
      <w:r>
        <w:rPr>
          <w:color w:val="1F2937"/>
          <w:sz w:val="22"/>
          <w:szCs w:val="22"/>
        </w:rPr>
        <w:t xml:space="preserve">"Elke abstractie die we nu inbouwen, is een gok op een toekomst die we niet kennen. De kernadministratie wordt misschien nooit vervangen. YAGNI."</w:t>
      </w:r>
    </w:p>
    <w:p>
      <w:pPr>
        <w:pStyle w:val="ListParagraph"/>
        <w:numPr>
          <w:ilvl w:val="0"/>
          <w:numId w:val="5"/>
        </w:numPr>
        <w:spacing w:after="120"/>
      </w:pPr>
      <w:r>
        <w:rPr>
          <w:color w:val="1F2937"/>
          <w:sz w:val="22"/>
          <w:szCs w:val="22"/>
        </w:rPr>
        <w:t xml:space="preserve">"En als het half wordt gedaan — en dat wordt het, want er is deadlinedruk — dan hebben we alle kosten en geen baten. Dat heeft jullie eigen reader letterlijk zo opgeschreven."</w:t>
      </w:r>
    </w:p>
    <w:p>
      <w:pPr>
        <w:spacing w:after="160" w:line="276"/>
      </w:pPr>
      <w:r>
        <w:rPr>
          <w:color w:val="1F2937"/>
          <w:sz w:val="22"/>
          <w:szCs w:val="22"/>
        </w:rPr>
        <w:t xml:space="preserve">De verdedigers mogen niet antwoorden met "het is een best practice" of met een methodenaam. Elk antwoord moet terug naar een drijver of naar een concrete wijziging.</w:t>
      </w:r>
    </w:p>
    <w:p>
      <w:pPr>
        <w:spacing w:after="120" w:line="270"/>
      </w:pPr>
      <w:r>
        <w:rPr>
          <w:b/>
          <w:bCs/>
          <w:color w:val="1F2937"/>
          <w:sz w:val="20"/>
          <w:szCs w:val="20"/>
        </w:rPr>
        <w:t xml:space="preserve">De observator </w:t>
      </w:r>
      <w:r>
        <w:rPr>
          <w:color w:val="1F2937"/>
          <w:sz w:val="20"/>
          <w:szCs w:val="20"/>
        </w:rPr>
        <w:t xml:space="preserve">noteert: welk argument van de tegenstander is het sterkst, en welk antwoord van de verdedigers is het zwakst?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0"/>
            </w:pPr>
            <w:r>
              <w:rPr>
                <w:color w:val="1F2937"/>
                <w:sz w:val="20"/>
                <w:szCs w:val="20"/>
              </w:rPr>
              <w:t xml:space="preserve">Geen modelantwoord. Waar het om gaat:</w:t>
            </w:r>
          </w:p>
          <w:p>
            <w:pPr>
              <w:spacing w:after="120" w:line="270"/>
            </w:pPr>
            <w:r>
              <w:rPr>
                <w:b/>
                <w:bCs/>
                <w:color w:val="1F2937"/>
                <w:sz w:val="20"/>
                <w:szCs w:val="20"/>
              </w:rPr>
              <w:t xml:space="preserve">Het sterkste argument van de tegenstander is nummer 3 </w:t>
            </w:r>
            <w:r>
              <w:rPr>
                <w:color w:val="1F2937"/>
                <w:sz w:val="20"/>
                <w:szCs w:val="20"/>
              </w:rPr>
              <w:t xml:space="preserve">(halfheid), en dat is bewust zo geconstrueerd: het citeert de reader zelf. Verdedigers die het wegwuiven, hebben verloren. Het juiste antwoord accepteert het argument en beantwoordt het met een maatregel: een expliciete regel dat de kern geen uitgaande afhankelijkheden heeft, controle daarop in reviews, en in niveau 2 een geautomatiseerde toets. Zonder maatregel is de tegenstander gewoon in het gelijk.</w:t>
            </w:r>
          </w:p>
          <w:p>
            <w:pPr>
              <w:spacing w:after="120" w:line="270"/>
            </w:pPr>
            <w:r>
              <w:rPr>
                <w:b/>
                <w:bCs/>
                <w:color w:val="1F2937"/>
                <w:sz w:val="20"/>
                <w:szCs w:val="20"/>
              </w:rPr>
              <w:t xml:space="preserve">Argument 1 (over-engineering) </w:t>
            </w:r>
            <w:r>
              <w:rPr>
                <w:color w:val="1F2937"/>
                <w:sz w:val="20"/>
                <w:szCs w:val="20"/>
              </w:rPr>
              <w:t xml:space="preserve">wordt beantwoord met de drijvers, niet met principes: QS-2 en de vervangbaarheidseis vragen om een afgezonderde integratie, en dat is de kern van de stijl. Hexagonaal voegt geen operationele complexiteit toe — anders dan de stijlen uit deel 5 — dus het argument "twee teams" snijdt hier geen hout.</w:t>
            </w:r>
          </w:p>
          <w:p>
            <w:pPr>
              <w:spacing w:after="120" w:line="270"/>
            </w:pPr>
            <w:r>
              <w:rPr>
                <w:b/>
                <w:bCs/>
                <w:color w:val="1F2937"/>
                <w:sz w:val="20"/>
                <w:szCs w:val="20"/>
              </w:rPr>
              <w:t xml:space="preserve">Argument 2 (YAGNI) </w:t>
            </w:r>
            <w:r>
              <w:rPr>
                <w:color w:val="1F2937"/>
                <w:sz w:val="20"/>
                <w:szCs w:val="20"/>
              </w:rPr>
              <w:t xml:space="preserve">wordt beantwoord met het omkeerbaarheidscriterium uit deel 1 en 3: YAGNI geldt voor wat goedkoop terug te draaien is. Een poort later invoegen in een systeem waarin dertig plaatsen rechtstreeks de kernadministratie aanroepen, is een verbouwing. Bovendien is de kernadministratievervanging in deze casus geen speculatie maar een genoemd scenario.</w:t>
            </w:r>
          </w:p>
          <w:p>
            <w:pPr>
              <w:spacing w:after="120" w:line="270"/>
            </w:pPr>
            <w:r>
              <w:rPr>
                <w:b/>
                <w:bCs/>
                <w:color w:val="1F2937"/>
                <w:sz w:val="20"/>
                <w:szCs w:val="20"/>
              </w:rPr>
              <w:t xml:space="preserve">Wat observatoren meestal rapporteren: </w:t>
            </w:r>
            <w:r>
              <w:rPr>
                <w:color w:val="1F2937"/>
                <w:sz w:val="20"/>
                <w:szCs w:val="20"/>
              </w:rPr>
              <w:t xml:space="preserve">het zwakste antwoord van de verdedigers is dat op argument 3, omdat het bijna altijd blijft steken in "we moeten gewoon discipline hebben". Discipline is geen maatregel. Dat is het leermoment.</w:t>
            </w:r>
          </w:p>
        </w:tc>
      </w:tr>
    </w:tbl>
    <w:p>
      <w:pPr>
        <w:pStyle w:val="Heading1"/>
        <w:pBdr>
          <w:bottom w:val="single" w:color="E5E7EB" w:sz="6" w:space="6"/>
        </w:pBdr>
        <w:spacing w:after="180" w:before="380"/>
      </w:pPr>
      <w:r>
        <w:rPr>
          <w:b/>
          <w:bCs/>
          <w:color w:val="1F3A5F"/>
          <w:sz w:val="30"/>
          <w:szCs w:val="30"/>
        </w:rPr>
        <w:t xml:space="preserve">Opdracht 4.6 — Toepassing op uw eigen systeem (individueel huiswerk, 40 minuten)</w:t>
      </w:r>
    </w:p>
    <w:p>
      <w:pPr>
        <w:spacing w:after="120" w:line="270"/>
      </w:pPr>
      <w:r>
        <w:rPr>
          <w:b/>
          <w:bCs/>
          <w:color w:val="1F2937"/>
          <w:sz w:val="20"/>
          <w:szCs w:val="20"/>
        </w:rPr>
        <w:t xml:space="preserve">a) </w:t>
      </w:r>
      <w:r>
        <w:rPr>
          <w:color w:val="1F2937"/>
          <w:sz w:val="20"/>
          <w:szCs w:val="20"/>
        </w:rPr>
        <w:t xml:space="preserve">Welke stijl heeft uw systeem? Als het antwoord "geen" of "onduidelijk" is, beschrijf dan welke stijl het het dichtst benadert en waar het ervan afwijkt.</w:t>
      </w:r>
    </w:p>
    <w:p>
      <w:pPr>
        <w:spacing w:after="120" w:line="270"/>
      </w:pPr>
      <w:r>
        <w:rPr>
          <w:b/>
          <w:bCs/>
          <w:color w:val="1F2937"/>
          <w:sz w:val="20"/>
          <w:szCs w:val="20"/>
        </w:rPr>
        <w:t xml:space="preserve">b) </w:t>
      </w:r>
      <w:r>
        <w:rPr>
          <w:color w:val="1F2937"/>
          <w:sz w:val="20"/>
          <w:szCs w:val="20"/>
        </w:rPr>
        <w:t xml:space="preserve">Is de stijl gekozen of ontstaan? Als hij gekozen is: kunt u de motivering ergens terugvinden?</w:t>
      </w:r>
    </w:p>
    <w:p>
      <w:pPr>
        <w:spacing w:after="120" w:line="270"/>
      </w:pPr>
      <w:r>
        <w:rPr>
          <w:b/>
          <w:bCs/>
          <w:color w:val="1F2937"/>
          <w:sz w:val="20"/>
          <w:szCs w:val="20"/>
        </w:rPr>
        <w:t xml:space="preserve">c) </w:t>
      </w:r>
      <w:r>
        <w:rPr>
          <w:color w:val="1F2937"/>
          <w:sz w:val="20"/>
          <w:szCs w:val="20"/>
        </w:rPr>
        <w:t xml:space="preserve">Loop de vier beoordelingsvragen uit paragraaf 4.2 langs voor de stijl die uw systeem heeft. Vraag 4 (wat kost halfheid) is verplicht en levert bij de meeste deelnemers de meest herkenbare uitkomst op.</w:t>
      </w:r>
    </w:p>
    <w:p>
      <w:pPr>
        <w:spacing w:after="120" w:line="270"/>
      </w:pPr>
      <w:r>
        <w:rPr>
          <w:b/>
          <w:bCs/>
          <w:color w:val="1F2937"/>
          <w:sz w:val="20"/>
          <w:szCs w:val="20"/>
        </w:rPr>
        <w:t xml:space="preserve">d) </w:t>
      </w:r>
      <w:r>
        <w:rPr>
          <w:color w:val="1F2937"/>
          <w:sz w:val="20"/>
          <w:szCs w:val="20"/>
        </w:rPr>
        <w:t xml:space="preserve">Noem één plek in uw systeem waar de stijl consequent wordt geschonden. Wat is de reden dat die schending is blijven staan?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0"/>
            </w:pPr>
            <w:r>
              <w:rPr>
                <w:color w:val="1F2937"/>
                <w:sz w:val="20"/>
                <w:szCs w:val="20"/>
              </w:rPr>
              <w:t xml:space="preserve">Individueel. Twee observaties uit eerdere groepen:</w:t>
            </w:r>
          </w:p>
          <w:p>
            <w:pPr>
              <w:spacing w:after="120" w:line="270"/>
            </w:pPr>
            <w:r>
              <w:rPr>
                <w:b/>
                <w:bCs/>
                <w:color w:val="1F2937"/>
                <w:sz w:val="20"/>
                <w:szCs w:val="20"/>
              </w:rPr>
              <w:t xml:space="preserve">Bij b) </w:t>
            </w:r>
            <w:r>
              <w:rPr>
                <w:color w:val="1F2937"/>
                <w:sz w:val="20"/>
                <w:szCs w:val="20"/>
              </w:rPr>
              <w:t xml:space="preserve">is het antwoord in de meerderheid van de gevallen "ontstaan, of ooit gekozen door iemand die er niet meer werkt, zonder vindbare motivering". Dat is B1 in de eigen omgeving en het is de reden dat deel 7 (ADR's) voor veel deelnemers het nuttigste deel van het niveau is.</w:t>
            </w:r>
          </w:p>
          <w:p>
            <w:pPr>
              <w:spacing w:after="120" w:line="270"/>
            </w:pPr>
            <w:r>
              <w:rPr>
                <w:b/>
                <w:bCs/>
                <w:color w:val="1F2937"/>
                <w:sz w:val="20"/>
                <w:szCs w:val="20"/>
              </w:rPr>
              <w:t xml:space="preserve">Bij d) </w:t>
            </w:r>
            <w:r>
              <w:rPr>
                <w:color w:val="1F2937"/>
                <w:sz w:val="20"/>
                <w:szCs w:val="20"/>
              </w:rPr>
              <w:t xml:space="preserve">is de meest genoemde reden voor een blijvende schending "het was een tijdelijke oplossing onder tijdsdruk". Vraag uzelf af hoe lang die tijdelijkheid inmiddels duurt. Het antwoord is doorgaans jaren, en dat is niet omdat niemand het weet, maar omdat een schending pas pijn doet als iemand toevallig op die plek moet zijn.</w:t>
            </w:r>
          </w:p>
        </w:tc>
      </w:tr>
    </w:tbl>
    <w:p>
      <w:pPr>
        <w:pStyle w:val="Heading1"/>
        <w:pBdr>
          <w:bottom w:val="single" w:color="E5E7EB" w:sz="6" w:space="6"/>
        </w:pBdr>
        <w:spacing w:after="180" w:before="380"/>
      </w:pPr>
      <w:r>
        <w:rPr>
          <w:b/>
          <w:bCs/>
          <w:color w:val="1F3A5F"/>
          <w:sz w:val="30"/>
          <w:szCs w:val="30"/>
        </w:rPr>
        <w:t xml:space="preserve">Opdracht 4.7 — Capstonedossier bijwerken (individueel, 15 minuten)</w:t>
      </w:r>
    </w:p>
    <w:p>
      <w:pPr>
        <w:spacing w:after="120" w:line="270"/>
      </w:pPr>
      <w:r>
        <w:rPr>
          <w:b/>
          <w:bCs/>
          <w:color w:val="1F2937"/>
          <w:sz w:val="20"/>
          <w:szCs w:val="20"/>
        </w:rPr>
        <w:t xml:space="preserve">a) </w:t>
      </w:r>
      <w:r>
        <w:rPr>
          <w:color w:val="1F2937"/>
          <w:sz w:val="20"/>
          <w:szCs w:val="20"/>
        </w:rPr>
        <w:t xml:space="preserve">Voeg uw stijlkeuze toe aan het dossier, met de vier beoordelingsvragen beantwoord in maximaal 200 woorden totaal.</w:t>
      </w:r>
    </w:p>
    <w:p>
      <w:pPr>
        <w:spacing w:after="120" w:line="270"/>
      </w:pPr>
      <w:r>
        <w:rPr>
          <w:b/>
          <w:bCs/>
          <w:color w:val="1F2937"/>
          <w:sz w:val="20"/>
          <w:szCs w:val="20"/>
        </w:rPr>
        <w:t xml:space="preserve">b) </w:t>
      </w:r>
      <w:r>
        <w:rPr>
          <w:color w:val="1F2937"/>
          <w:sz w:val="20"/>
          <w:szCs w:val="20"/>
        </w:rPr>
        <w:t xml:space="preserve">Noteer expliciet welke maatregel u neemt tegen halfheid. Zonder die maatregel is uw stijlkeuze in deel 10 niet verdedigbaar.</w:t>
      </w:r>
    </w:p>
    <w:p>
      <w:pPr>
        <w:spacing w:after="120" w:line="270"/>
      </w:pPr>
      <w:r>
        <w:rPr>
          <w:b/>
          <w:bCs/>
          <w:color w:val="1F2937"/>
          <w:sz w:val="20"/>
          <w:szCs w:val="20"/>
        </w:rPr>
        <w:t xml:space="preserve">c) </w:t>
      </w:r>
      <w:r>
        <w:rPr>
          <w:color w:val="1F2937"/>
          <w:sz w:val="20"/>
          <w:szCs w:val="20"/>
        </w:rPr>
        <w:t xml:space="preserve">Vul B4 nog niet in bij uw bevindingenregister. B4 wordt pas gesloten na deel 5; vandaag hebt u de helft.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0"/>
            </w:pPr>
            <w:r>
              <w:rPr>
                <w:b/>
                <w:bCs/>
                <w:color w:val="1F2937"/>
                <w:sz w:val="20"/>
                <w:szCs w:val="20"/>
              </w:rPr>
              <w:t xml:space="preserve">b) </w:t>
            </w:r>
            <w:r>
              <w:rPr>
                <w:color w:val="1F2937"/>
                <w:sz w:val="20"/>
                <w:szCs w:val="20"/>
              </w:rPr>
              <w:t xml:space="preserve">Verdedigbare maatregelen tegen halfheid, oplopend in kracht: een expliciete regel in de architectuurdocumentatie; die regel als vast punt in de reviewpraktijk; een afhankelijkhedencontrole in de bouwstraat die faalt bij een uitgaande afhankelijkheid vanuit de kern; en een periodieke steekproef door het gremium. De derde is de enige die niet van oplettendheid afhangt en is daarom de sterkste — in niveau 2, deel 17, wordt zij als fitness function uitgewerkt.</w:t>
            </w:r>
          </w:p>
          <w:p>
            <w:pPr>
              <w:spacing w:after="120" w:line="270"/>
            </w:pPr>
            <w:r>
              <w:rPr>
                <w:b/>
                <w:bCs/>
                <w:color w:val="1F2937"/>
                <w:sz w:val="20"/>
                <w:szCs w:val="20"/>
              </w:rPr>
              <w:t xml:space="preserve">c) </w:t>
            </w:r>
            <w:r>
              <w:rPr>
                <w:color w:val="1F2937"/>
                <w:sz w:val="20"/>
                <w:szCs w:val="20"/>
              </w:rPr>
              <w:t xml:space="preserve">B4 blijft vandaag open. Dat is opzettelijk: de bevinding gaat over een stijlkeuze zonder afweging, en de keuze die in Mutatie 1.0 werkelijk schade veroorzaakte — elf onafhankelijk deploybare services — is een distributiebeslissing. Die staat los van wat u vandaag hebt gekozen. Deelnemers die dit onderscheid vandaag al maken, hebben het belangrijkste van deel 5 al te pakken.</w:t>
            </w:r>
          </w:p>
        </w:tc>
      </w:tr>
    </w:tbl>
    <w:p>
      <w:pPr>
        <w:pBdr>
          <w:top w:val="single" w:color="E5E7EB" w:sz="4" w:space="8"/>
        </w:pBdr>
        <w:spacing w:before="400"/>
        <w:jc w:val="center"/>
      </w:pPr>
      <w:r>
        <w:rPr>
          <w:i/>
          <w:iCs/>
          <w:color w:val="6B7280"/>
          <w:sz w:val="17"/>
          <w:szCs w:val="17"/>
        </w:rPr>
        <w:t xml:space="preserve">Ductus B.V. · Cursus Softwarearchitectuur · Niveau 1, deel 4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2026-08-17T14:08:17.133Z</dcterms:created>
  <dcterms:modified xsi:type="dcterms:W3CDTF">2026-08-17T14:08:17.134Z</dcterms:modified>
</cp:coreProperties>
</file>

<file path=docProps/custom.xml><?xml version="1.0" encoding="utf-8"?>
<Properties xmlns="http://schemas.openxmlformats.org/officeDocument/2006/custom-properties" xmlns:vt="http://schemas.openxmlformats.org/officeDocument/2006/docPropsVTypes"/>
</file>