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5 — Architectuurstijlen II</w:t>
      </w:r>
    </w:p>
    <w:p>
      <w:pPr>
        <w:spacing w:after="200"/>
      </w:pPr>
      <w:r>
        <w:rPr>
          <w:b/>
          <w:bCs/>
          <w:color w:val="4A6789"/>
          <w:sz w:val="26"/>
          <w:szCs w:val="26"/>
        </w:rPr>
        <w:t xml:space="preserve">Docentenhandleiding</w:t>
      </w:r>
    </w:p>
    <w:p>
      <w:pPr>
        <w:spacing w:after="400"/>
      </w:pPr>
      <w:r>
        <w:rPr>
          <w:color w:val="6B7280"/>
          <w:sz w:val="20"/>
          <w:szCs w:val="20"/>
        </w:rPr>
        <w:t xml:space="preserve">Cursus Softwarearchitectuur · Niveau 1 (CPSA-F) · Deel 5 van 10</w:t>
      </w:r>
    </w:p>
    <w:p>
      <w:pPr>
        <w:pStyle w:val="Heading1"/>
        <w:pBdr>
          <w:bottom w:val="single" w:color="E5E7EB" w:sz="6" w:space="6"/>
        </w:pBdr>
        <w:spacing w:after="180" w:before="380"/>
      </w:pPr>
      <w:r>
        <w:rPr>
          <w:b/>
          <w:bCs/>
          <w:color w:val="1F3A5F"/>
          <w:sz w:val="30"/>
          <w:szCs w:val="30"/>
        </w:rPr>
        <w:t xml:space="preserve">1. Positie van dit deel</w:t>
      </w:r>
    </w:p>
    <w:p>
      <w:pPr>
        <w:spacing w:after="160" w:line="276"/>
      </w:pPr>
      <w:r>
        <w:rPr>
          <w:color w:val="1F2937"/>
          <w:sz w:val="22"/>
          <w:szCs w:val="22"/>
        </w:rPr>
        <w:t xml:space="preserve">Dit is het politiek gevoeligste deel van de cursus. U vertelt een groep professionals dat de architectuurstijl die zij het afgelopen decennium hebben geleerd — en waarvan sommigen in hun cv en functietitel afhankelijk zijn — in hun situatie waarschijnlijk de verkeerde keuze is.</w:t>
      </w:r>
    </w:p>
    <w:p>
      <w:pPr>
        <w:spacing w:after="160" w:line="276"/>
      </w:pPr>
      <w:r>
        <w:rPr>
          <w:b/>
          <w:bCs/>
          <w:color w:val="1F2937"/>
          <w:sz w:val="22"/>
          <w:szCs w:val="22"/>
        </w:rPr>
        <w:t xml:space="preserve">Als u dat verkeerd brengt, verliest u de groep. </w:t>
      </w:r>
      <w:r>
        <w:rPr>
          <w:color w:val="1F2937"/>
          <w:sz w:val="22"/>
          <w:szCs w:val="22"/>
        </w:rPr>
        <w:t xml:space="preserve">De twee manieren waarop dat gebeurt:</w:t>
      </w:r>
    </w:p>
    <w:p>
      <w:pPr>
        <w:pStyle w:val="ListParagraph"/>
        <w:numPr>
          <w:ilvl w:val="0"/>
          <w:numId w:val="2"/>
        </w:numPr>
        <w:spacing w:after="100"/>
      </w:pPr>
      <w:r>
        <w:rPr>
          <w:b/>
          <w:bCs/>
          <w:color w:val="1F2937"/>
          <w:sz w:val="22"/>
          <w:szCs w:val="22"/>
        </w:rPr>
        <w:t xml:space="preserve">Te stellig. </w:t>
      </w:r>
      <w:r>
        <w:rPr>
          <w:color w:val="1F2937"/>
          <w:sz w:val="22"/>
          <w:szCs w:val="22"/>
        </w:rPr>
        <w:t xml:space="preserve">U presenteert de modulith als het juiste antwoord. Dan hebt u mode vervangen door mode, en de scherpste deelnemers prikken erdoorheen — terecht, want dat is exact de fout van B4 in andere kleding. Slide 35 bestaat om dit te voorkomen; sla hem nooit over.</w:t>
      </w:r>
    </w:p>
    <w:p>
      <w:pPr>
        <w:pStyle w:val="ListParagraph"/>
        <w:numPr>
          <w:ilvl w:val="0"/>
          <w:numId w:val="2"/>
        </w:numPr>
        <w:spacing w:after="100"/>
      </w:pPr>
      <w:r>
        <w:rPr>
          <w:b/>
          <w:bCs/>
          <w:color w:val="1F2937"/>
          <w:sz w:val="22"/>
          <w:szCs w:val="22"/>
        </w:rPr>
        <w:t xml:space="preserve">Te voorzichtig. </w:t>
      </w:r>
      <w:r>
        <w:rPr>
          <w:color w:val="1F2937"/>
          <w:sz w:val="22"/>
          <w:szCs w:val="22"/>
        </w:rPr>
        <w:t xml:space="preserve">U relativeert alles tot “het hangt ervan af” en de groep neemt geen enkele conclusie mee. Dan hebt u B4 niet gesloten.</w:t>
      </w:r>
    </w:p>
    <w:p>
      <w:pPr>
        <w:spacing w:after="160" w:line="276"/>
      </w:pPr>
      <w:r>
        <w:rPr>
          <w:color w:val="1F2937"/>
          <w:sz w:val="22"/>
          <w:szCs w:val="22"/>
        </w:rPr>
        <w:t xml:space="preserve">De juiste toon is die van het rekenwerk: er zijn vier drijvers, we toetsen ze, we komen op nul, dus we distribueren niet — en zodra er één ontstaat, herzien we. Geen oordeel over de stijl, wel een oordeel over de afweging.</w:t>
      </w:r>
    </w:p>
    <w:p>
      <w:pPr>
        <w:spacing w:after="160" w:line="276"/>
      </w:pPr>
      <w:r>
        <w:rPr>
          <w:b/>
          <w:bCs/>
          <w:color w:val="1F2937"/>
          <w:sz w:val="22"/>
          <w:szCs w:val="22"/>
        </w:rPr>
        <w:t xml:space="preserve">Tweede taak vandaag: </w:t>
      </w:r>
      <w:r>
        <w:rPr>
          <w:color w:val="1F2937"/>
          <w:sz w:val="22"/>
          <w:szCs w:val="22"/>
        </w:rPr>
        <w:t xml:space="preserve">het onderscheid uit deel 4 landen. Structuur en distributie zijn twee vragen. Dat is de hele inhoud van B4 en het is het belangrijkste dat deelnemers uit dit blok meenemen.</w:t>
      </w:r>
    </w:p>
    <w:p>
      <w:pPr>
        <w:pStyle w:val="Heading1"/>
        <w:pBdr>
          <w:bottom w:val="single" w:color="E5E7EB" w:sz="6" w:space="6"/>
        </w:pBdr>
        <w:spacing w:after="180" w:before="380"/>
      </w:pPr>
      <w:r>
        <w:rPr>
          <w:b/>
          <w:bCs/>
          <w:color w:val="1F3A5F"/>
          <w:sz w:val="30"/>
          <w:szCs w:val="30"/>
        </w:rPr>
        <w:t xml:space="preserve">2. Dagdeelplanning (4 uur, twee pauzes)</w:t>
      </w:r>
    </w:p>
    <w:tbl>
      <w:tblPr>
        <w:tblW w:type="dxa" w:w="9600"/>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1500"/>
        <w:gridCol w:w="4900"/>
        <w:gridCol w:w="1900"/>
        <w:gridCol w:w="1300"/>
      </w:tblGrid>
      <w:tr>
        <w:trPr>
          <w:tblHeader/>
        </w:trPr>
        <w:tc>
          <w:tcPr>
            <w:tcW w:type="dxa" w:w="1500"/>
            <w:shd w:fill="1F3A5F" w:val="clear"/>
            <w:tcMar>
              <w:top w:type="dxa" w:w="100"/>
              <w:left w:type="dxa" w:w="120"/>
              <w:bottom w:type="dxa" w:w="100"/>
              <w:right w:type="dxa" w:w="120"/>
            </w:tcMar>
            <w:vAlign w:val="center"/>
          </w:tcPr>
          <w:p>
            <w:r>
              <w:rPr>
                <w:b/>
                <w:bCs/>
                <w:color w:val="FFFFFF"/>
                <w:sz w:val="19"/>
                <w:szCs w:val="19"/>
              </w:rPr>
              <w:t xml:space="preserve">Tijd</w:t>
            </w:r>
          </w:p>
        </w:tc>
        <w:tc>
          <w:tcPr>
            <w:tcW w:type="dxa" w:w="4900"/>
            <w:shd w:fill="1F3A5F" w:val="clear"/>
            <w:tcMar>
              <w:top w:type="dxa" w:w="100"/>
              <w:left w:type="dxa" w:w="120"/>
              <w:bottom w:type="dxa" w:w="100"/>
              <w:right w:type="dxa" w:w="120"/>
            </w:tcMar>
            <w:vAlign w:val="center"/>
          </w:tcPr>
          <w:p>
            <w:r>
              <w:rPr>
                <w:b/>
                <w:bCs/>
                <w:color w:val="FFFFFF"/>
                <w:sz w:val="19"/>
                <w:szCs w:val="19"/>
              </w:rPr>
              <w:t xml:space="preserve">Onderdeel</w:t>
            </w:r>
          </w:p>
        </w:tc>
        <w:tc>
          <w:tcPr>
            <w:tcW w:type="dxa" w:w="1900"/>
            <w:shd w:fill="1F3A5F" w:val="clear"/>
            <w:tcMar>
              <w:top w:type="dxa" w:w="100"/>
              <w:left w:type="dxa" w:w="120"/>
              <w:bottom w:type="dxa" w:w="100"/>
              <w:right w:type="dxa" w:w="120"/>
            </w:tcMar>
            <w:vAlign w:val="center"/>
          </w:tcPr>
          <w:p>
            <w:r>
              <w:rPr>
                <w:b/>
                <w:bCs/>
                <w:color w:val="FFFFFF"/>
                <w:sz w:val="19"/>
                <w:szCs w:val="19"/>
              </w:rPr>
              <w:t xml:space="preserve">Vorm</w:t>
            </w:r>
          </w:p>
        </w:tc>
        <w:tc>
          <w:tcPr>
            <w:tcW w:type="dxa" w:w="1300"/>
            <w:shd w:fill="1F3A5F" w:val="clear"/>
            <w:tcMar>
              <w:top w:type="dxa" w:w="100"/>
              <w:left w:type="dxa" w:w="120"/>
              <w:bottom w:type="dxa" w:w="100"/>
              <w:right w:type="dxa" w:w="120"/>
            </w:tcMar>
            <w:vAlign w:val="center"/>
          </w:tcPr>
          <w:p>
            <w:r>
              <w:rPr>
                <w:b/>
                <w:bCs/>
                <w:color w:val="FFFFFF"/>
                <w:sz w:val="19"/>
                <w:szCs w:val="19"/>
              </w:rPr>
              <w:t xml:space="preserve">Slides</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0:00–0:10</w:t>
            </w:r>
          </w:p>
        </w:tc>
        <w:tc>
          <w:tcPr>
            <w:tcW w:type="dxa" w:w="4900"/>
            <w:tcMar>
              <w:top w:type="dxa" w:w="100"/>
              <w:left w:type="dxa" w:w="120"/>
              <w:bottom w:type="dxa" w:w="100"/>
              <w:right w:type="dxa" w:w="120"/>
            </w:tcMar>
            <w:vAlign w:val="center"/>
          </w:tcPr>
          <w:p>
            <w:r>
              <w:rPr>
                <w:b w:val="false"/>
                <w:bCs w:val="false"/>
                <w:color w:val="1F2937"/>
                <w:sz w:val="19"/>
                <w:szCs w:val="19"/>
              </w:rPr>
              <w:t xml:space="preserve">De geparkeerde vragen uit deel 4 beantwoorden</w:t>
            </w:r>
          </w:p>
        </w:tc>
        <w:tc>
          <w:tcPr>
            <w:tcW w:type="dxa" w:w="19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300"/>
            <w:tcMar>
              <w:top w:type="dxa" w:w="100"/>
              <w:left w:type="dxa" w:w="120"/>
              <w:bottom w:type="dxa" w:w="100"/>
              <w:right w:type="dxa" w:w="120"/>
            </w:tcMar>
            <w:vAlign w:val="center"/>
          </w:tcPr>
          <w:p>
            <w:r>
              <w:rPr>
                <w:b w:val="false"/>
                <w:bCs w:val="false"/>
                <w:color w:val="1F2937"/>
                <w:sz w:val="19"/>
                <w:szCs w:val="19"/>
              </w:rPr>
              <w:t xml:space="preserve">2–3</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0:10–0:30</w:t>
            </w:r>
          </w:p>
        </w:tc>
        <w:tc>
          <w:tcPr>
            <w:tcW w:type="dxa" w:w="4900"/>
            <w:tcMar>
              <w:top w:type="dxa" w:w="100"/>
              <w:left w:type="dxa" w:w="120"/>
              <w:bottom w:type="dxa" w:w="100"/>
              <w:right w:type="dxa" w:w="120"/>
            </w:tcMar>
            <w:vAlign w:val="center"/>
          </w:tcPr>
          <w:p>
            <w:r>
              <w:rPr>
                <w:b w:val="false"/>
                <w:bCs w:val="false"/>
                <w:color w:val="1F2937"/>
                <w:sz w:val="19"/>
                <w:szCs w:val="19"/>
              </w:rPr>
              <w:t xml:space="preserve">Het kwadrant; de gedistribueerde modderbal</w:t>
            </w:r>
          </w:p>
        </w:tc>
        <w:tc>
          <w:tcPr>
            <w:tcW w:type="dxa" w:w="19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300"/>
            <w:tcMar>
              <w:top w:type="dxa" w:w="100"/>
              <w:left w:type="dxa" w:w="120"/>
              <w:bottom w:type="dxa" w:w="100"/>
              <w:right w:type="dxa" w:w="120"/>
            </w:tcMar>
            <w:vAlign w:val="center"/>
          </w:tcPr>
          <w:p>
            <w:r>
              <w:rPr>
                <w:b w:val="false"/>
                <w:bCs w:val="false"/>
                <w:color w:val="1F2937"/>
                <w:sz w:val="19"/>
                <w:szCs w:val="19"/>
              </w:rPr>
              <w:t xml:space="preserve">4–7</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0:30–0:50</w:t>
            </w:r>
          </w:p>
        </w:tc>
        <w:tc>
          <w:tcPr>
            <w:tcW w:type="dxa" w:w="4900"/>
            <w:tcMar>
              <w:top w:type="dxa" w:w="100"/>
              <w:left w:type="dxa" w:w="120"/>
              <w:bottom w:type="dxa" w:w="100"/>
              <w:right w:type="dxa" w:w="120"/>
            </w:tcMar>
            <w:vAlign w:val="center"/>
          </w:tcPr>
          <w:p>
            <w:r>
              <w:rPr>
                <w:b w:val="false"/>
                <w:bCs w:val="false"/>
                <w:color w:val="1F2937"/>
                <w:sz w:val="19"/>
                <w:szCs w:val="19"/>
              </w:rPr>
              <w:t xml:space="preserve">Opdracht 5.1 — Mutatie 1.0 plaatsen</w:t>
            </w:r>
          </w:p>
        </w:tc>
        <w:tc>
          <w:tcPr>
            <w:tcW w:type="dxa" w:w="1900"/>
            <w:tcMar>
              <w:top w:type="dxa" w:w="100"/>
              <w:left w:type="dxa" w:w="120"/>
              <w:bottom w:type="dxa" w:w="100"/>
              <w:right w:type="dxa" w:w="120"/>
            </w:tcMar>
            <w:vAlign w:val="center"/>
          </w:tcPr>
          <w:p>
            <w:r>
              <w:rPr>
                <w:b w:val="false"/>
                <w:bCs w:val="false"/>
                <w:color w:val="1F2937"/>
                <w:sz w:val="19"/>
                <w:szCs w:val="19"/>
              </w:rPr>
              <w:t xml:space="preserve">individueel + plenair</w:t>
            </w:r>
          </w:p>
        </w:tc>
        <w:tc>
          <w:tcPr>
            <w:tcW w:type="dxa" w:w="1300"/>
            <w:tcMar>
              <w:top w:type="dxa" w:w="100"/>
              <w:left w:type="dxa" w:w="120"/>
              <w:bottom w:type="dxa" w:w="100"/>
              <w:right w:type="dxa" w:w="120"/>
            </w:tcMar>
            <w:vAlign w:val="center"/>
          </w:tcPr>
          <w:p>
            <w:r>
              <w:rPr>
                <w:b w:val="false"/>
                <w:bCs w:val="false"/>
                <w:color w:val="1F2937"/>
                <w:sz w:val="19"/>
                <w:szCs w:val="19"/>
              </w:rPr>
              <w:t xml:space="preserve">8</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0:50–1:10</w:t>
            </w:r>
          </w:p>
        </w:tc>
        <w:tc>
          <w:tcPr>
            <w:tcW w:type="dxa" w:w="4900"/>
            <w:tcMar>
              <w:top w:type="dxa" w:w="100"/>
              <w:left w:type="dxa" w:w="120"/>
              <w:bottom w:type="dxa" w:w="100"/>
              <w:right w:type="dxa" w:w="120"/>
            </w:tcMar>
            <w:vAlign w:val="center"/>
          </w:tcPr>
          <w:p>
            <w:r>
              <w:rPr>
                <w:b w:val="false"/>
                <w:bCs w:val="false"/>
                <w:color w:val="1F2937"/>
                <w:sz w:val="19"/>
                <w:szCs w:val="19"/>
              </w:rPr>
              <w:t xml:space="preserve">Monoliet en modulith</w:t>
            </w:r>
          </w:p>
        </w:tc>
        <w:tc>
          <w:tcPr>
            <w:tcW w:type="dxa" w:w="19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300"/>
            <w:tcMar>
              <w:top w:type="dxa" w:w="100"/>
              <w:left w:type="dxa" w:w="120"/>
              <w:bottom w:type="dxa" w:w="100"/>
              <w:right w:type="dxa" w:w="120"/>
            </w:tcMar>
            <w:vAlign w:val="center"/>
          </w:tcPr>
          <w:p>
            <w:r>
              <w:rPr>
                <w:b w:val="false"/>
                <w:bCs w:val="false"/>
                <w:color w:val="1F2937"/>
                <w:sz w:val="19"/>
                <w:szCs w:val="19"/>
              </w:rPr>
              <w:t xml:space="preserve">9–15</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1:10–1:20</w:t>
            </w:r>
          </w:p>
        </w:tc>
        <w:tc>
          <w:tcPr>
            <w:tcW w:type="dxa" w:w="4900"/>
            <w:tcMar>
              <w:top w:type="dxa" w:w="100"/>
              <w:left w:type="dxa" w:w="120"/>
              <w:bottom w:type="dxa" w:w="100"/>
              <w:right w:type="dxa" w:w="120"/>
            </w:tcMar>
            <w:vAlign w:val="center"/>
          </w:tcPr>
          <w:p>
            <w:r>
              <w:rPr>
                <w:b w:val="false"/>
                <w:bCs w:val="false"/>
                <w:color w:val="1F2937"/>
                <w:sz w:val="19"/>
                <w:szCs w:val="19"/>
              </w:rPr>
              <w:t xml:space="preserve">Pauze</w:t>
            </w:r>
          </w:p>
        </w:tc>
        <w:tc>
          <w:tcPr>
            <w:tcW w:type="dxa" w:w="1900"/>
            <w:tcMar>
              <w:top w:type="dxa" w:w="100"/>
              <w:left w:type="dxa" w:w="120"/>
              <w:bottom w:type="dxa" w:w="100"/>
              <w:right w:type="dxa" w:w="120"/>
            </w:tcMar>
            <w:vAlign w:val="center"/>
          </w:tcPr>
          <w:p>
            <w:r>
              <w:rPr>
                <w:b w:val="false"/>
                <w:bCs w:val="false"/>
                <w:color w:val="1F2937"/>
                <w:sz w:val="19"/>
                <w:szCs w:val="19"/>
              </w:rPr>
              <w:t xml:space="preserve"/>
            </w:r>
          </w:p>
        </w:tc>
        <w:tc>
          <w:tcPr>
            <w:tcW w:type="dxa" w:w="1300"/>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1:20–1:50</w:t>
            </w:r>
          </w:p>
        </w:tc>
        <w:tc>
          <w:tcPr>
            <w:tcW w:type="dxa" w:w="4900"/>
            <w:tcMar>
              <w:top w:type="dxa" w:w="100"/>
              <w:left w:type="dxa" w:w="120"/>
              <w:bottom w:type="dxa" w:w="100"/>
              <w:right w:type="dxa" w:w="120"/>
            </w:tcMar>
            <w:vAlign w:val="center"/>
          </w:tcPr>
          <w:p>
            <w:r>
              <w:rPr>
                <w:b w:val="false"/>
                <w:bCs w:val="false"/>
                <w:color w:val="1F2937"/>
                <w:sz w:val="19"/>
                <w:szCs w:val="19"/>
              </w:rPr>
              <w:t xml:space="preserve">Microservices: de vier drijvers, de schijnargumenten, de kosten</w:t>
            </w:r>
          </w:p>
        </w:tc>
        <w:tc>
          <w:tcPr>
            <w:tcW w:type="dxa" w:w="19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300"/>
            <w:tcMar>
              <w:top w:type="dxa" w:w="100"/>
              <w:left w:type="dxa" w:w="120"/>
              <w:bottom w:type="dxa" w:w="100"/>
              <w:right w:type="dxa" w:w="120"/>
            </w:tcMar>
            <w:vAlign w:val="center"/>
          </w:tcPr>
          <w:p>
            <w:r>
              <w:rPr>
                <w:b w:val="false"/>
                <w:bCs w:val="false"/>
                <w:color w:val="1F2937"/>
                <w:sz w:val="19"/>
                <w:szCs w:val="19"/>
              </w:rPr>
              <w:t xml:space="preserve">16–22</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1:50–2:15</w:t>
            </w:r>
          </w:p>
        </w:tc>
        <w:tc>
          <w:tcPr>
            <w:tcW w:type="dxa" w:w="4900"/>
            <w:tcMar>
              <w:top w:type="dxa" w:w="100"/>
              <w:left w:type="dxa" w:w="120"/>
              <w:bottom w:type="dxa" w:w="100"/>
              <w:right w:type="dxa" w:w="120"/>
            </w:tcMar>
            <w:vAlign w:val="center"/>
          </w:tcPr>
          <w:p>
            <w:r>
              <w:rPr>
                <w:b w:val="false"/>
                <w:bCs w:val="false"/>
                <w:color w:val="1F2937"/>
                <w:sz w:val="19"/>
                <w:szCs w:val="19"/>
              </w:rPr>
              <w:t xml:space="preserve">Opdracht 5.2 — de vier drijvers toetsen</w:t>
            </w:r>
          </w:p>
        </w:tc>
        <w:tc>
          <w:tcPr>
            <w:tcW w:type="dxa" w:w="1900"/>
            <w:tcMar>
              <w:top w:type="dxa" w:w="100"/>
              <w:left w:type="dxa" w:w="120"/>
              <w:bottom w:type="dxa" w:w="100"/>
              <w:right w:type="dxa" w:w="120"/>
            </w:tcMar>
            <w:vAlign w:val="center"/>
          </w:tcPr>
          <w:p>
            <w:r>
              <w:rPr>
                <w:b w:val="false"/>
                <w:bCs w:val="false"/>
                <w:color w:val="1F2937"/>
                <w:sz w:val="19"/>
                <w:szCs w:val="19"/>
              </w:rPr>
              <w:t xml:space="preserve">duo's + plenair</w:t>
            </w:r>
          </w:p>
        </w:tc>
        <w:tc>
          <w:tcPr>
            <w:tcW w:type="dxa" w:w="1300"/>
            <w:tcMar>
              <w:top w:type="dxa" w:w="100"/>
              <w:left w:type="dxa" w:w="120"/>
              <w:bottom w:type="dxa" w:w="100"/>
              <w:right w:type="dxa" w:w="120"/>
            </w:tcMar>
            <w:vAlign w:val="center"/>
          </w:tcPr>
          <w:p>
            <w:r>
              <w:rPr>
                <w:b w:val="false"/>
                <w:bCs w:val="false"/>
                <w:color w:val="1F2937"/>
                <w:sz w:val="19"/>
                <w:szCs w:val="19"/>
              </w:rPr>
              <w:t xml:space="preserve">23</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2:15–2:55</w:t>
            </w:r>
          </w:p>
        </w:tc>
        <w:tc>
          <w:tcPr>
            <w:tcW w:type="dxa" w:w="4900"/>
            <w:tcMar>
              <w:top w:type="dxa" w:w="100"/>
              <w:left w:type="dxa" w:w="120"/>
              <w:bottom w:type="dxa" w:w="100"/>
              <w:right w:type="dxa" w:w="120"/>
            </w:tcMar>
            <w:vAlign w:val="center"/>
          </w:tcPr>
          <w:p>
            <w:r>
              <w:rPr>
                <w:b w:val="false"/>
                <w:bCs w:val="false"/>
                <w:color w:val="1F2937"/>
                <w:sz w:val="19"/>
                <w:szCs w:val="19"/>
              </w:rPr>
              <w:t xml:space="preserve">Opdracht 5.3 — de modulith uitwerken</w:t>
            </w:r>
          </w:p>
        </w:tc>
        <w:tc>
          <w:tcPr>
            <w:tcW w:type="dxa" w:w="1900"/>
            <w:tcMar>
              <w:top w:type="dxa" w:w="100"/>
              <w:left w:type="dxa" w:w="120"/>
              <w:bottom w:type="dxa" w:w="100"/>
              <w:right w:type="dxa" w:w="120"/>
            </w:tcMar>
            <w:vAlign w:val="center"/>
          </w:tcPr>
          <w:p>
            <w:r>
              <w:rPr>
                <w:b w:val="false"/>
                <w:bCs w:val="false"/>
                <w:color w:val="1F2937"/>
                <w:sz w:val="19"/>
                <w:szCs w:val="19"/>
              </w:rPr>
              <w:t xml:space="preserve">groepen van vier</w:t>
            </w:r>
          </w:p>
        </w:tc>
        <w:tc>
          <w:tcPr>
            <w:tcW w:type="dxa" w:w="1300"/>
            <w:tcMar>
              <w:top w:type="dxa" w:w="100"/>
              <w:left w:type="dxa" w:w="120"/>
              <w:bottom w:type="dxa" w:w="100"/>
              <w:right w:type="dxa" w:w="120"/>
            </w:tcMar>
            <w:vAlign w:val="center"/>
          </w:tcPr>
          <w:p>
            <w:r>
              <w:rPr>
                <w:b w:val="false"/>
                <w:bCs w:val="false"/>
                <w:color w:val="1F2937"/>
                <w:sz w:val="19"/>
                <w:szCs w:val="19"/>
              </w:rPr>
              <w:t xml:space="preserve">—</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2:55–3:05</w:t>
            </w:r>
          </w:p>
        </w:tc>
        <w:tc>
          <w:tcPr>
            <w:tcW w:type="dxa" w:w="4900"/>
            <w:tcMar>
              <w:top w:type="dxa" w:w="100"/>
              <w:left w:type="dxa" w:w="120"/>
              <w:bottom w:type="dxa" w:w="100"/>
              <w:right w:type="dxa" w:w="120"/>
            </w:tcMar>
            <w:vAlign w:val="center"/>
          </w:tcPr>
          <w:p>
            <w:r>
              <w:rPr>
                <w:b w:val="false"/>
                <w:bCs w:val="false"/>
                <w:color w:val="1F2937"/>
                <w:sz w:val="19"/>
                <w:szCs w:val="19"/>
              </w:rPr>
              <w:t xml:space="preserve">Pauze</w:t>
            </w:r>
          </w:p>
        </w:tc>
        <w:tc>
          <w:tcPr>
            <w:tcW w:type="dxa" w:w="1900"/>
            <w:tcMar>
              <w:top w:type="dxa" w:w="100"/>
              <w:left w:type="dxa" w:w="120"/>
              <w:bottom w:type="dxa" w:w="100"/>
              <w:right w:type="dxa" w:w="120"/>
            </w:tcMar>
            <w:vAlign w:val="center"/>
          </w:tcPr>
          <w:p>
            <w:r>
              <w:rPr>
                <w:b w:val="false"/>
                <w:bCs w:val="false"/>
                <w:color w:val="1F2937"/>
                <w:sz w:val="19"/>
                <w:szCs w:val="19"/>
              </w:rPr>
              <w:t xml:space="preserve"/>
            </w:r>
          </w:p>
        </w:tc>
        <w:tc>
          <w:tcPr>
            <w:tcW w:type="dxa" w:w="1300"/>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3:05–3:30</w:t>
            </w:r>
          </w:p>
        </w:tc>
        <w:tc>
          <w:tcPr>
            <w:tcW w:type="dxa" w:w="4900"/>
            <w:tcMar>
              <w:top w:type="dxa" w:w="100"/>
              <w:left w:type="dxa" w:w="120"/>
              <w:bottom w:type="dxa" w:w="100"/>
              <w:right w:type="dxa" w:w="120"/>
            </w:tcMar>
            <w:vAlign w:val="center"/>
          </w:tcPr>
          <w:p>
            <w:r>
              <w:rPr>
                <w:b w:val="false"/>
                <w:bCs w:val="false"/>
                <w:color w:val="1F2937"/>
                <w:sz w:val="19"/>
                <w:szCs w:val="19"/>
              </w:rPr>
              <w:t xml:space="preserve">Event-driven; gebeurtenissen als geheugen; orkestratie/choreografie</w:t>
            </w:r>
          </w:p>
        </w:tc>
        <w:tc>
          <w:tcPr>
            <w:tcW w:type="dxa" w:w="19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300"/>
            <w:tcMar>
              <w:top w:type="dxa" w:w="100"/>
              <w:left w:type="dxa" w:w="120"/>
              <w:bottom w:type="dxa" w:w="100"/>
              <w:right w:type="dxa" w:w="120"/>
            </w:tcMar>
            <w:vAlign w:val="center"/>
          </w:tcPr>
          <w:p>
            <w:r>
              <w:rPr>
                <w:b w:val="false"/>
                <w:bCs w:val="false"/>
                <w:color w:val="1F2937"/>
                <w:sz w:val="19"/>
                <w:szCs w:val="19"/>
              </w:rPr>
              <w:t xml:space="preserve">24–30</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3:30–3:45</w:t>
            </w:r>
          </w:p>
        </w:tc>
        <w:tc>
          <w:tcPr>
            <w:tcW w:type="dxa" w:w="4900"/>
            <w:tcMar>
              <w:top w:type="dxa" w:w="100"/>
              <w:left w:type="dxa" w:w="120"/>
              <w:bottom w:type="dxa" w:w="100"/>
              <w:right w:type="dxa" w:w="120"/>
            </w:tcMar>
            <w:vAlign w:val="center"/>
          </w:tcPr>
          <w:p>
            <w:r>
              <w:rPr>
                <w:b w:val="false"/>
                <w:bCs w:val="false"/>
                <w:color w:val="1F2937"/>
                <w:sz w:val="19"/>
                <w:szCs w:val="19"/>
              </w:rPr>
              <w:t xml:space="preserve">De beslissing voor Mutatie 2.0</w:t>
            </w:r>
          </w:p>
        </w:tc>
        <w:tc>
          <w:tcPr>
            <w:tcW w:type="dxa" w:w="19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300"/>
            <w:tcMar>
              <w:top w:type="dxa" w:w="100"/>
              <w:left w:type="dxa" w:w="120"/>
              <w:bottom w:type="dxa" w:w="100"/>
              <w:right w:type="dxa" w:w="120"/>
            </w:tcMar>
            <w:vAlign w:val="center"/>
          </w:tcPr>
          <w:p>
            <w:r>
              <w:rPr>
                <w:b w:val="false"/>
                <w:bCs w:val="false"/>
                <w:color w:val="1F2937"/>
                <w:sz w:val="19"/>
                <w:szCs w:val="19"/>
              </w:rPr>
              <w:t xml:space="preserve">32</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3:45–4:00</w:t>
            </w:r>
          </w:p>
        </w:tc>
        <w:tc>
          <w:tcPr>
            <w:tcW w:type="dxa" w:w="4900"/>
            <w:tcMar>
              <w:top w:type="dxa" w:w="100"/>
              <w:left w:type="dxa" w:w="120"/>
              <w:bottom w:type="dxa" w:w="100"/>
              <w:right w:type="dxa" w:w="120"/>
            </w:tcMar>
            <w:vAlign w:val="center"/>
          </w:tcPr>
          <w:p>
            <w:r>
              <w:rPr>
                <w:b w:val="false"/>
                <w:bCs w:val="false"/>
                <w:color w:val="1F2937"/>
                <w:sz w:val="19"/>
                <w:szCs w:val="19"/>
              </w:rPr>
              <w:t xml:space="preserve">B4 sluiten; huiswerk</w:t>
            </w:r>
          </w:p>
        </w:tc>
        <w:tc>
          <w:tcPr>
            <w:tcW w:type="dxa" w:w="19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300"/>
            <w:tcMar>
              <w:top w:type="dxa" w:w="100"/>
              <w:left w:type="dxa" w:w="120"/>
              <w:bottom w:type="dxa" w:w="100"/>
              <w:right w:type="dxa" w:w="120"/>
            </w:tcMar>
            <w:vAlign w:val="center"/>
          </w:tcPr>
          <w:p>
            <w:r>
              <w:rPr>
                <w:b w:val="false"/>
                <w:bCs w:val="false"/>
                <w:color w:val="1F2937"/>
                <w:sz w:val="19"/>
                <w:szCs w:val="19"/>
              </w:rPr>
              <w:t xml:space="preserve">33–36</w:t>
            </w:r>
          </w:p>
        </w:tc>
      </w:tr>
    </w:tbl>
    <w:p>
      <w:pPr>
        <w:spacing w:after="300"/>
      </w:pPr>
    </w:p>
    <w:p>
      <w:pPr>
        <w:spacing w:after="160" w:line="276"/>
      </w:pPr>
      <w:r>
        <w:rPr>
          <w:b/>
          <w:bCs/>
          <w:color w:val="1F2937"/>
          <w:sz w:val="22"/>
          <w:szCs w:val="22"/>
        </w:rPr>
        <w:t xml:space="preserve">Opdracht 5.4 (sprint 4 opnieuw) en 5.5 (orkestratie/choreografie) staan niet in de planning. </w:t>
      </w:r>
      <w:r>
        <w:rPr>
          <w:color w:val="1F2937"/>
          <w:sz w:val="22"/>
          <w:szCs w:val="22"/>
        </w:rPr>
        <w:t xml:space="preserve">Keuzes:</w:t>
      </w:r>
    </w:p>
    <w:p>
      <w:pPr>
        <w:pStyle w:val="ListParagraph"/>
        <w:numPr>
          <w:ilvl w:val="0"/>
          <w:numId w:val="2"/>
        </w:numPr>
        <w:spacing w:after="100"/>
      </w:pPr>
      <w:r>
        <w:rPr>
          <w:b/>
          <w:bCs/>
          <w:color w:val="1F2937"/>
          <w:sz w:val="22"/>
          <w:szCs w:val="22"/>
        </w:rPr>
        <w:t xml:space="preserve">Doe 5.4 in plaats van 5.3 </w:t>
      </w:r>
      <w:r>
        <w:rPr>
          <w:color w:val="1F2937"/>
          <w:sz w:val="22"/>
          <w:szCs w:val="22"/>
        </w:rPr>
        <w:t xml:space="preserve">bij groepen die de modulith al snel begrijpen en meer aan de beslissingsvorm hebben. 5.4 is bovendien de zachte introductie van de ADR, wat deel 7 lichter maakt.</w:t>
      </w:r>
    </w:p>
    <w:p>
      <w:pPr>
        <w:pStyle w:val="ListParagraph"/>
        <w:numPr>
          <w:ilvl w:val="0"/>
          <w:numId w:val="2"/>
        </w:numPr>
        <w:spacing w:after="100"/>
      </w:pPr>
      <w:r>
        <w:rPr>
          <w:b/>
          <w:bCs/>
          <w:color w:val="1F2937"/>
          <w:sz w:val="22"/>
          <w:szCs w:val="22"/>
        </w:rPr>
        <w:t xml:space="preserve">Doe 5.5 in plaats van de plenaire behandeling van orkestratie </w:t>
      </w:r>
      <w:r>
        <w:rPr>
          <w:color w:val="1F2937"/>
          <w:sz w:val="22"/>
          <w:szCs w:val="22"/>
        </w:rPr>
        <w:t xml:space="preserve">bij groepen met veel proces- of BPM-achtergrond; die halen er meer uit dan uit een uitleg.</w:t>
      </w:r>
    </w:p>
    <w:p>
      <w:pPr>
        <w:pStyle w:val="ListParagraph"/>
        <w:numPr>
          <w:ilvl w:val="0"/>
          <w:numId w:val="2"/>
        </w:numPr>
        <w:spacing w:after="100"/>
      </w:pPr>
      <w:r>
        <w:rPr>
          <w:b/>
          <w:bCs/>
          <w:color w:val="1F2937"/>
          <w:sz w:val="22"/>
          <w:szCs w:val="22"/>
        </w:rPr>
        <w:t xml:space="preserve">Bij 4,5 uur: </w:t>
      </w:r>
      <w:r>
        <w:rPr>
          <w:color w:val="1F2937"/>
          <w:sz w:val="22"/>
          <w:szCs w:val="22"/>
        </w:rPr>
        <w:t xml:space="preserve">5.3 en 5.5 beide, en 5.4 als huiswerk.</w:t>
      </w:r>
    </w:p>
    <w:p>
      <w:pPr>
        <w:spacing w:after="160" w:line="276"/>
      </w:pPr>
      <w:r>
        <w:rPr>
          <w:b/>
          <w:bCs/>
          <w:color w:val="1F2937"/>
          <w:sz w:val="22"/>
          <w:szCs w:val="22"/>
        </w:rPr>
        <w:t xml:space="preserve">Wat u nooit inkort: </w:t>
      </w:r>
      <w:r>
        <w:rPr>
          <w:color w:val="1F2937"/>
          <w:sz w:val="22"/>
          <w:szCs w:val="22"/>
        </w:rPr>
        <w:t xml:space="preserve">de vier drijvers (slides 17–19) en het B4-slot (slides 33–35).</w:t>
      </w:r>
    </w:p>
    <w:p>
      <w:pPr>
        <w:pStyle w:val="Heading1"/>
        <w:pBdr>
          <w:bottom w:val="single" w:color="E5E7EB" w:sz="6" w:space="6"/>
        </w:pBdr>
        <w:spacing w:after="180" w:before="380"/>
      </w:pPr>
      <w:r>
        <w:rPr>
          <w:b/>
          <w:bCs/>
          <w:color w:val="1F3A5F"/>
          <w:sz w:val="30"/>
          <w:szCs w:val="30"/>
        </w:rPr>
        <w:t xml:space="preserve">3. Per onderdeel: aanpak, valkuilen, sturing</w:t>
      </w:r>
    </w:p>
    <w:p>
      <w:pPr>
        <w:pStyle w:val="Heading2"/>
        <w:spacing w:after="140" w:before="260"/>
      </w:pPr>
      <w:r>
        <w:rPr>
          <w:b/>
          <w:bCs/>
          <w:color w:val="4A6789"/>
          <w:sz w:val="24"/>
          <w:szCs w:val="24"/>
        </w:rPr>
        <w:t xml:space="preserve">3.1 De geparkeerde vragen (slides 2–3)</w:t>
      </w:r>
    </w:p>
    <w:p>
      <w:pPr>
        <w:spacing w:after="160" w:line="276"/>
      </w:pPr>
      <w:r>
        <w:rPr>
          <w:i w:val="false"/>
          <w:iCs w:val="false"/>
          <w:color w:val="1F2937"/>
          <w:sz w:val="22"/>
          <w:szCs w:val="22"/>
        </w:rPr>
        <w:t xml:space="preserve">Open letterlijk met de parkeerlijst uit deel 4. Lees de vragen voor en zeg: deze beantwoorden we vandaag. Dat kost twee minuten en levert veel op — de groep merkt dat het parkeren geen afhouden was.</w:t>
      </w:r>
    </w:p>
    <w:p>
      <w:pPr>
        <w:pStyle w:val="Heading2"/>
        <w:spacing w:after="140" w:before="260"/>
      </w:pPr>
      <w:r>
        <w:rPr>
          <w:b/>
          <w:bCs/>
          <w:color w:val="4A6789"/>
          <w:sz w:val="24"/>
          <w:szCs w:val="24"/>
        </w:rPr>
        <w:t xml:space="preserve">3.2 Het kwadrant (slides 4–7)</w:t>
      </w:r>
    </w:p>
    <w:p>
      <w:pPr>
        <w:spacing w:after="160" w:line="276"/>
      </w:pPr>
      <w:r>
        <w:rPr>
          <w:b/>
          <w:bCs/>
          <w:color w:val="1F2937"/>
          <w:sz w:val="22"/>
          <w:szCs w:val="22"/>
        </w:rPr>
        <w:t xml:space="preserve">Dit is het denkraam van het hele dagdeel. </w:t>
      </w:r>
      <w:r>
        <w:rPr>
          <w:color w:val="1F2937"/>
          <w:sz w:val="22"/>
          <w:szCs w:val="22"/>
        </w:rPr>
        <w:t xml:space="preserve">Teken het op het bord en laat het de hele dag staan.</w:t>
      </w:r>
    </w:p>
    <w:p>
      <w:pPr>
        <w:spacing w:after="160" w:line="276"/>
      </w:pPr>
      <w:r>
        <w:rPr>
          <w:b/>
          <w:bCs/>
          <w:color w:val="1F2937"/>
          <w:sz w:val="22"/>
          <w:szCs w:val="22"/>
        </w:rPr>
        <w:t xml:space="preserve">Werkvorm die goed werkt: </w:t>
      </w:r>
      <w:r>
        <w:rPr>
          <w:color w:val="1F2937"/>
          <w:sz w:val="22"/>
          <w:szCs w:val="22"/>
        </w:rPr>
        <w:t xml:space="preserve">laat de groep, voordat u Mutatie 1.0 plaatst, hun eigen systeem in het kwadrant plaatsen met een sticker of een streepje. Bij vrijwel elke groep clustert het resultaat rechtsonder of in het midden. Dat is een eerlijker startpunt dan de casus, en het voorkomt dat het dagdeel over “die domme leverancier” gaat.</w:t>
      </w:r>
    </w:p>
    <w:p>
      <w:pPr>
        <w:spacing w:after="160" w:line="276"/>
      </w:pPr>
      <w:r>
        <w:rPr>
          <w:b/>
          <w:bCs/>
          <w:color w:val="1F2937"/>
          <w:sz w:val="22"/>
          <w:szCs w:val="22"/>
        </w:rPr>
        <w:t xml:space="preserve">Slide 7 </w:t>
      </w:r>
      <w:r>
        <w:rPr>
          <w:color w:val="1F2937"/>
          <w:sz w:val="22"/>
          <w:szCs w:val="22"/>
        </w:rPr>
        <w:t xml:space="preserve">(de weg naar rechtsboven loopt via linksboven) is de meest praktische zin van het deel voor deelnemers die al gedistribueerd zijn. Voor hen is de boodschap niet “u had het anders moeten doen” maar “de reparatie is modulariseren, niet hergroeperen”.</w:t>
      </w:r>
    </w:p>
    <w:p>
      <w:pPr>
        <w:pStyle w:val="Heading2"/>
        <w:spacing w:after="140" w:before="260"/>
      </w:pPr>
      <w:r>
        <w:rPr>
          <w:b/>
          <w:bCs/>
          <w:color w:val="4A6789"/>
          <w:sz w:val="24"/>
          <w:szCs w:val="24"/>
        </w:rPr>
        <w:t xml:space="preserve">3.3 Opdracht 5.1 (20 minuten)</w:t>
      </w:r>
    </w:p>
    <w:p>
      <w:pPr>
        <w:spacing w:after="160" w:line="276"/>
      </w:pPr>
      <w:r>
        <w:rPr>
          <w:color w:val="1F2937"/>
          <w:sz w:val="22"/>
          <w:szCs w:val="22"/>
        </w:rPr>
        <w:t xml:space="preserve">10 minuten individueel, 10 plenair. Bespreek vooral onderdeel c).</w:t>
      </w:r>
    </w:p>
    <w:p>
      <w:pPr>
        <w:spacing w:after="160" w:line="276"/>
      </w:pPr>
      <w:r>
        <w:rPr>
          <w:color w:val="1F2937"/>
          <w:sz w:val="22"/>
          <w:szCs w:val="22"/>
        </w:rPr>
        <w:t xml:space="preserve">Dit is het scharnier van het dagdeel: de helft van de schade kwam uit distributie, de andere helft niet. B1, B2 en B3 waren onverkort blijven staan bij één uitrolbare eenheid.</w:t>
      </w:r>
    </w:p>
    <w:p>
      <w:pPr>
        <w:spacing w:after="160" w:line="276"/>
      </w:pPr>
      <w:r>
        <w:rPr>
          <w:b/>
          <w:bCs/>
          <w:color w:val="1F2937"/>
          <w:sz w:val="22"/>
          <w:szCs w:val="22"/>
        </w:rPr>
        <w:t xml:space="preserve">De formulering die u wilt laten vallen: </w:t>
      </w:r>
      <w:r>
        <w:rPr>
          <w:color w:val="1F2937"/>
          <w:sz w:val="22"/>
          <w:szCs w:val="22"/>
        </w:rPr>
        <w:t xml:space="preserve">distributie heeft de gevolgen van de andere bevindingen vergroot en zichtbaar gemaakt — hij heeft ze niet veroorzaakt. Groepen die dit meenemen, vervallen niet in de simpele lezing (“microservices deugden niet”) die de rest van het dagdeel ondermijnt.</w:t>
      </w:r>
    </w:p>
    <w:p>
      <w:pPr>
        <w:spacing w:after="160" w:line="276"/>
      </w:pPr>
      <w:r>
        <w:rPr>
          <w:b/>
          <w:bCs/>
          <w:color w:val="1F2937"/>
          <w:sz w:val="22"/>
          <w:szCs w:val="22"/>
        </w:rPr>
        <w:t xml:space="preserve">Deel het deploybeeld pas vandaag uit </w:t>
      </w:r>
      <w:r>
        <w:rPr>
          <w:color w:val="1F2937"/>
          <w:sz w:val="22"/>
          <w:szCs w:val="22"/>
        </w:rPr>
        <w:t xml:space="preserve">(bijlage K, derde schets). In deel 4 achtergehouden om te voorkomen dat de discussie vooruitloopt.</w:t>
      </w:r>
    </w:p>
    <w:p>
      <w:pPr>
        <w:pStyle w:val="Heading2"/>
        <w:spacing w:after="140" w:before="260"/>
      </w:pPr>
      <w:r>
        <w:rPr>
          <w:b/>
          <w:bCs/>
          <w:color w:val="4A6789"/>
          <w:sz w:val="24"/>
          <w:szCs w:val="24"/>
        </w:rPr>
        <w:t xml:space="preserve">3.4 Monoliet en modulith (slides 9–15)</w:t>
      </w:r>
    </w:p>
    <w:p>
      <w:pPr>
        <w:spacing w:after="160" w:line="276"/>
      </w:pPr>
      <w:r>
        <w:rPr>
          <w:b/>
          <w:bCs/>
          <w:color w:val="1F2937"/>
          <w:sz w:val="22"/>
          <w:szCs w:val="22"/>
        </w:rPr>
        <w:t xml:space="preserve">Verdedig de monoliet serieus. </w:t>
      </w:r>
      <w:r>
        <w:rPr>
          <w:color w:val="1F2937"/>
          <w:sz w:val="22"/>
          <w:szCs w:val="22"/>
        </w:rPr>
        <w:t xml:space="preserve">Slide 11 en 12 zijn geen retoriek: echte transacties en goedkope refactoring zijn substantiële eigenschappen, en QS-4 hangt er rechtstreeks van af.</w:t>
      </w:r>
    </w:p>
    <w:p>
      <w:pPr>
        <w:spacing w:after="160" w:line="276"/>
      </w:pPr>
      <w:r>
        <w:rPr>
          <w:b/>
          <w:bCs/>
          <w:color w:val="1F2937"/>
          <w:sz w:val="22"/>
          <w:szCs w:val="22"/>
        </w:rPr>
        <w:t xml:space="preserve">Slide 12 is het argument dat het vaakst nieuw is: </w:t>
      </w:r>
      <w:r>
        <w:rPr>
          <w:color w:val="1F2937"/>
          <w:sz w:val="22"/>
          <w:szCs w:val="22"/>
        </w:rPr>
        <w:t xml:space="preserve">aan het begin van een project weet u uw grenzen nog niet, en in een monoliet zijn ze goedkoop te corrigeren. Zodra ze netwerkkoppelvlakken zijn, kost een correctie een migratie. Dat is een leerargument, geen conservatief argument, en zo moet u het brengen.</w:t>
      </w:r>
    </w:p>
    <w:p>
      <w:pPr>
        <w:spacing w:after="160" w:line="276"/>
      </w:pPr>
      <w:r>
        <w:rPr>
          <w:b/>
          <w:bCs/>
          <w:color w:val="1F2937"/>
          <w:sz w:val="22"/>
          <w:szCs w:val="22"/>
        </w:rPr>
        <w:t xml:space="preserve">Slide 15 (geen conferentielezing) werkt als grap en als punt. </w:t>
      </w:r>
      <w:r>
        <w:rPr>
          <w:color w:val="1F2937"/>
          <w:sz w:val="22"/>
          <w:szCs w:val="22"/>
        </w:rPr>
        <w:t xml:space="preserve">Gebruik hem — hij ontwapent de deelnemers die vermoeden dat u ouderwets bent.</w:t>
      </w:r>
    </w:p>
    <w:p>
      <w:pPr>
        <w:spacing w:after="160" w:line="276"/>
      </w:pPr>
      <w:r>
        <w:rPr>
          <w:b/>
          <w:bCs/>
          <w:color w:val="1F2937"/>
          <w:sz w:val="22"/>
          <w:szCs w:val="22"/>
        </w:rPr>
        <w:t xml:space="preserve">Valkuil: </w:t>
      </w:r>
      <w:r>
        <w:rPr>
          <w:color w:val="1F2937"/>
          <w:sz w:val="22"/>
          <w:szCs w:val="22"/>
        </w:rPr>
        <w:t xml:space="preserve">de modulith wordt afgedaan als “gewoon een goed gebouwde monoliet”. Dat klopt grotendeels, en het is geen bezwaar. Wat het toevoegt is de handhaving: grenzen die geautomatiseerd worden bewaakt in plaats van bedoeld. Leg daar de nadruk, want dat is het verschil tussen de modulith en de modderbal — en het is hetzelfde punt als de maatregel tegen halfheid uit deel 4.</w:t>
      </w:r>
    </w:p>
    <w:p>
      <w:pPr>
        <w:pStyle w:val="Heading2"/>
        <w:spacing w:after="140" w:before="260"/>
      </w:pPr>
      <w:r>
        <w:rPr>
          <w:b/>
          <w:bCs/>
          <w:color w:val="4A6789"/>
          <w:sz w:val="24"/>
          <w:szCs w:val="24"/>
        </w:rPr>
        <w:t xml:space="preserve">3.5 De vier drijvers (slides 16–22, 30 minuten)</w:t>
      </w:r>
    </w:p>
    <w:p>
      <w:pPr>
        <w:spacing w:after="160" w:line="276"/>
      </w:pPr>
      <w:r>
        <w:rPr>
          <w:b/>
          <w:bCs/>
          <w:color w:val="1F2937"/>
          <w:sz w:val="22"/>
          <w:szCs w:val="22"/>
        </w:rPr>
        <w:t xml:space="preserve">Het inhoudelijke zwaartepunt. </w:t>
      </w:r>
      <w:r>
        <w:rPr>
          <w:color w:val="1F2937"/>
          <w:sz w:val="22"/>
          <w:szCs w:val="22"/>
        </w:rPr>
        <w:t xml:space="preserve">Presenteer de vier drijvers als een toets, niet als een mening.</w:t>
      </w:r>
    </w:p>
    <w:p>
      <w:pPr>
        <w:spacing w:after="160" w:line="276"/>
      </w:pPr>
      <w:r>
        <w:rPr>
          <w:b/>
          <w:bCs/>
          <w:color w:val="1F2937"/>
          <w:sz w:val="22"/>
          <w:szCs w:val="22"/>
        </w:rPr>
        <w:t xml:space="preserve">Slide 19 (de schijnargumenten) vraagt tact. </w:t>
      </w:r>
      <w:r>
        <w:rPr>
          <w:color w:val="1F2937"/>
          <w:sz w:val="22"/>
          <w:szCs w:val="22"/>
        </w:rPr>
        <w:t xml:space="preserve">Elk van deze vier is door iemand in de zaal ooit gebruikt. Presenteer ze zonder toon van betrapping; het punt is dat ze allemaal plausibel klinken, en dat is precies waarom ze zo vaak doorslaggevend zijn geweest.</w:t>
      </w:r>
    </w:p>
    <w:p>
      <w:pPr>
        <w:spacing w:after="160" w:line="276"/>
      </w:pPr>
      <w:r>
        <w:rPr>
          <w:color w:val="1F2937"/>
          <w:sz w:val="22"/>
          <w:szCs w:val="22"/>
        </w:rPr>
        <w:t xml:space="preserve">Het argument dat de meeste weerstand oproept is “teams kunnen dan onafhankelijk werken”. Het weerwoord is empirisch en scherp: liggen de grenzen verkeerd, dan overleggen teams méér dan voorheen, want nu over koppelvlakken die niet eenzijdig te wijzigen zijn. Vraag of iemand dat herkent; er gaat vrijwel altijd een hand omhoog, en dat argument uit de zaal is sterker dan het uwe.</w:t>
      </w:r>
    </w:p>
    <w:p>
      <w:pPr>
        <w:spacing w:after="160" w:line="276"/>
      </w:pPr>
      <w:r>
        <w:rPr>
          <w:b/>
          <w:bCs/>
          <w:color w:val="1F2937"/>
          <w:sz w:val="22"/>
          <w:szCs w:val="22"/>
        </w:rPr>
        <w:t xml:space="preserve">Slide 20–21 (de kosten). </w:t>
      </w:r>
      <w:r>
        <w:rPr>
          <w:color w:val="1F2937"/>
          <w:sz w:val="22"/>
          <w:szCs w:val="22"/>
        </w:rPr>
        <w:t xml:space="preserve">Besteed de meeste tijd aan twee dingen:</w:t>
      </w:r>
    </w:p>
    <w:p>
      <w:pPr>
        <w:pStyle w:val="ListParagraph"/>
        <w:numPr>
          <w:ilvl w:val="0"/>
          <w:numId w:val="2"/>
        </w:numPr>
        <w:spacing w:after="100"/>
      </w:pPr>
      <w:r>
        <w:rPr>
          <w:b/>
          <w:bCs/>
          <w:color w:val="1F2937"/>
          <w:sz w:val="22"/>
          <w:szCs w:val="22"/>
        </w:rPr>
        <w:t xml:space="preserve">“Slaagt zonder dat u het antwoord krijgt.” </w:t>
      </w:r>
      <w:r>
        <w:rPr>
          <w:color w:val="1F2937"/>
          <w:sz w:val="22"/>
          <w:szCs w:val="22"/>
        </w:rPr>
        <w:t xml:space="preserve">Dit geval bestaat binnen één proces niet en is de bron van de meeste gedistribueerde fouten. Veel deelnemers hebben er wel last van gehad zonder het zo te benoemen.</w:t>
      </w:r>
    </w:p>
    <w:p>
      <w:pPr>
        <w:pStyle w:val="ListParagraph"/>
        <w:numPr>
          <w:ilvl w:val="0"/>
          <w:numId w:val="2"/>
        </w:numPr>
        <w:spacing w:after="100"/>
      </w:pPr>
      <w:r>
        <w:rPr>
          <w:b/>
          <w:bCs/>
          <w:color w:val="1F2937"/>
          <w:sz w:val="22"/>
          <w:szCs w:val="22"/>
        </w:rPr>
        <w:t xml:space="preserve">Slide 21, QS-4. </w:t>
      </w:r>
      <w:r>
        <w:rPr>
          <w:color w:val="1F2937"/>
          <w:sz w:val="22"/>
          <w:szCs w:val="22"/>
        </w:rPr>
        <w:t xml:space="preserve">Dit is het scherpste casusargument van het dagdeel: als mutatie en audittrail in verschillende diensten leven, moet u aantonen dat ze niet uit elkaar lopen, en dat bewijs is duurder dan de transactie die u opgaf. Voor een pensioenuitvoerder onder toezicht is dat geen theoretisch punt.</w:t>
      </w:r>
    </w:p>
    <w:p>
      <w:pPr>
        <w:spacing w:after="160" w:line="276"/>
      </w:pPr>
      <w:r>
        <w:rPr>
          <w:b/>
          <w:bCs/>
          <w:color w:val="1F2937"/>
          <w:sz w:val="22"/>
          <w:szCs w:val="22"/>
        </w:rPr>
        <w:t xml:space="preserve">Slide 22 niet overslaan. </w:t>
      </w:r>
      <w:r>
        <w:rPr>
          <w:color w:val="1F2937"/>
          <w:sz w:val="22"/>
          <w:szCs w:val="22"/>
        </w:rPr>
        <w:t xml:space="preserve">Microservices zijn niet fout, ze zijn duur. Als u dat niet expliciet zegt, hoort de groep het toch, maar dan als iets dat u probeerde te verbergen.</w:t>
      </w:r>
    </w:p>
    <w:p>
      <w:pPr>
        <w:pStyle w:val="Heading2"/>
        <w:spacing w:after="140" w:before="260"/>
      </w:pPr>
      <w:r>
        <w:rPr>
          <w:b/>
          <w:bCs/>
          <w:color w:val="4A6789"/>
          <w:sz w:val="24"/>
          <w:szCs w:val="24"/>
        </w:rPr>
        <w:t xml:space="preserve">3.6 Opdracht 5.2 (25 minuten)</w:t>
      </w:r>
    </w:p>
    <w:p>
      <w:pPr>
        <w:spacing w:after="160" w:line="276"/>
      </w:pPr>
      <w:r>
        <w:rPr>
          <w:color w:val="1F2937"/>
          <w:sz w:val="22"/>
          <w:szCs w:val="22"/>
        </w:rPr>
        <w:t xml:space="preserve">15 minuten werken, 10 plenair. Bespreek A en C.</w:t>
      </w:r>
    </w:p>
    <w:p>
      <w:pPr>
        <w:pStyle w:val="ListParagraph"/>
        <w:numPr>
          <w:ilvl w:val="0"/>
          <w:numId w:val="2"/>
        </w:numPr>
        <w:spacing w:after="100"/>
      </w:pPr>
      <w:r>
        <w:rPr>
          <w:b/>
          <w:bCs/>
          <w:color w:val="1F2937"/>
          <w:sz w:val="22"/>
          <w:szCs w:val="22"/>
        </w:rPr>
        <w:t xml:space="preserve">A </w:t>
      </w:r>
      <w:r>
        <w:rPr>
          <w:color w:val="1F2937"/>
          <w:sz w:val="22"/>
          <w:szCs w:val="22"/>
        </w:rPr>
        <w:t xml:space="preserve">is de bevestiging: nul van vier, en dat is een rekensom, geen mening.</w:t>
      </w:r>
    </w:p>
    <w:p>
      <w:pPr>
        <w:pStyle w:val="ListParagraph"/>
        <w:numPr>
          <w:ilvl w:val="0"/>
          <w:numId w:val="2"/>
        </w:numPr>
        <w:spacing w:after="100"/>
      </w:pPr>
      <w:r>
        <w:rPr>
          <w:b/>
          <w:bCs/>
          <w:color w:val="1F2937"/>
          <w:sz w:val="22"/>
          <w:szCs w:val="22"/>
        </w:rPr>
        <w:t xml:space="preserve">C (de webwinkel) </w:t>
      </w:r>
      <w:r>
        <w:rPr>
          <w:color w:val="1F2937"/>
          <w:sz w:val="22"/>
          <w:szCs w:val="22"/>
        </w:rPr>
        <w:t xml:space="preserve">is de interessante: drie van vier aanwezig, dus distribueren — maar de drijvers zeggen niet hoe fijn. Dit is het punt dat groepen zelden zelf maken en dat in de praktijk het meeste schade voorkomt: fijnmazigheid is een aparte beslissing, en te fijn is duurder dan te grof, want samenvoegen is goedkoper dan splitsen.</w:t>
      </w:r>
    </w:p>
    <w:p>
      <w:pPr>
        <w:spacing w:after="160" w:line="276"/>
      </w:pPr>
      <w:r>
        <w:rPr>
          <w:color w:val="1F2937"/>
          <w:sz w:val="22"/>
          <w:szCs w:val="22"/>
        </w:rPr>
        <w:t xml:space="preserve">Als de tijd knelt, laat B en D vallen — die zijn eenduidig.</w:t>
      </w:r>
    </w:p>
    <w:p>
      <w:pPr>
        <w:pStyle w:val="Heading2"/>
        <w:spacing w:after="140" w:before="260"/>
      </w:pPr>
      <w:r>
        <w:rPr>
          <w:b/>
          <w:bCs/>
          <w:color w:val="4A6789"/>
          <w:sz w:val="24"/>
          <w:szCs w:val="24"/>
        </w:rPr>
        <w:t xml:space="preserve">3.7 Opdracht 5.3 — de modulith uitwerken (40 minuten)</w:t>
      </w:r>
    </w:p>
    <w:p>
      <w:pPr>
        <w:spacing w:after="160" w:line="276"/>
      </w:pPr>
      <w:r>
        <w:rPr>
          <w:color w:val="1F2937"/>
          <w:sz w:val="22"/>
          <w:szCs w:val="22"/>
        </w:rPr>
        <w:t xml:space="preserve">30 minuten werken, 10 plenair. Groepen van vier, voortbouwend op hun hexagoon uit deel 4.</w:t>
      </w:r>
    </w:p>
    <w:p>
      <w:pPr>
        <w:spacing w:after="160" w:line="276"/>
      </w:pPr>
      <w:r>
        <w:rPr>
          <w:b/>
          <w:bCs/>
          <w:color w:val="1F2937"/>
          <w:sz w:val="22"/>
          <w:szCs w:val="22"/>
        </w:rPr>
        <w:t xml:space="preserve">Drie interventies:</w:t>
      </w:r>
      <w:r>
        <w:rPr>
          <w:color w:val="1F2937"/>
          <w:sz w:val="22"/>
          <w:szCs w:val="22"/>
        </w:rPr>
        <w:t xml:space="preserve"/>
      </w:r>
    </w:p>
    <w:p>
      <w:pPr>
        <w:pStyle w:val="ListParagraph"/>
        <w:numPr>
          <w:ilvl w:val="0"/>
          <w:numId w:val="3"/>
        </w:numPr>
        <w:spacing w:after="120"/>
      </w:pPr>
      <w:r>
        <w:rPr>
          <w:b/>
          <w:bCs/>
          <w:color w:val="1F2937"/>
          <w:sz w:val="22"/>
          <w:szCs w:val="22"/>
        </w:rPr>
        <w:t xml:space="preserve">Te veel modules </w:t>
      </w:r>
      <w:r>
        <w:rPr>
          <w:color w:val="1F2937"/>
          <w:sz w:val="22"/>
          <w:szCs w:val="22"/>
        </w:rPr>
        <w:t xml:space="preserve">(zestien of meer). Ze verwarren componenten met modules. Vraag: welke van deze zou u ooit apart willen uitrollen? Dat comprimeert de lijst snel.</w:t>
      </w:r>
    </w:p>
    <w:p>
      <w:pPr>
        <w:pStyle w:val="ListParagraph"/>
        <w:numPr>
          <w:ilvl w:val="0"/>
          <w:numId w:val="3"/>
        </w:numPr>
        <w:spacing w:after="120"/>
      </w:pPr>
      <w:r>
        <w:rPr>
          <w:b/>
          <w:bCs/>
          <w:color w:val="1F2937"/>
          <w:sz w:val="22"/>
          <w:szCs w:val="22"/>
        </w:rPr>
        <w:t xml:space="preserve">Bij onderdeel c) kiezen groepen automatisch voor kopieën via gebeurtenissen. </w:t>
      </w:r>
      <w:r>
        <w:rPr>
          <w:color w:val="1F2937"/>
          <w:sz w:val="22"/>
          <w:szCs w:val="22"/>
        </w:rPr>
        <w:t xml:space="preserve">Dat is de gedistribueerde reflex. Wijs erop dat binnen één proces een synchrone aanroep gratis is: de gedeelde-gegevensvraag is in een modulith bijna triviaal en gedistribueerd het duurste probleem dat u hebt. Dit is een van de vier drijvers in omgekeerde vorm en het is het beste inzicht van de opdracht.</w:t>
      </w:r>
    </w:p>
    <w:p>
      <w:pPr>
        <w:pStyle w:val="ListParagraph"/>
        <w:numPr>
          <w:ilvl w:val="0"/>
          <w:numId w:val="3"/>
        </w:numPr>
        <w:spacing w:after="120"/>
      </w:pPr>
      <w:r>
        <w:rPr>
          <w:b/>
          <w:bCs/>
          <w:color w:val="1F2937"/>
          <w:sz w:val="22"/>
          <w:szCs w:val="22"/>
        </w:rPr>
        <w:t xml:space="preserve">Bij onderdeel e) antwoordt men “de architect bewaakt dat in reviews”. </w:t>
      </w:r>
      <w:r>
        <w:rPr>
          <w:color w:val="1F2937"/>
          <w:sz w:val="22"/>
          <w:szCs w:val="22"/>
        </w:rPr>
        <w:t xml:space="preserve">Onvoldoende. Reviews sneuvelen als eerste onder deadlinedruk. Duw richting bouwstraatcontrole of gescheiden databaseschema's met rechten per module. Verwijs terug naar de maatregel tegen halfheid uit opdracht 4.7b — dit is dezelfde maatregel, nu concreet.</w:t>
      </w:r>
    </w:p>
    <w:p>
      <w:pPr>
        <w:spacing w:after="160" w:line="276"/>
      </w:pPr>
      <w:r>
        <w:rPr>
          <w:b/>
          <w:bCs/>
          <w:color w:val="1F2937"/>
          <w:sz w:val="22"/>
          <w:szCs w:val="22"/>
        </w:rPr>
        <w:t xml:space="preserve">Plenair: </w:t>
      </w:r>
      <w:r>
        <w:rPr>
          <w:color w:val="1F2937"/>
          <w:sz w:val="22"/>
          <w:szCs w:val="22"/>
        </w:rPr>
        <w:t xml:space="preserve">laat één groep f) presenteren (de splitsingskandidaat). Het goede antwoord is de kernadministratie-integratie, en de redenering — niet omdat zij anders schaalt, maar omdat zij bij pakketvervanging een eigen ritme krijgt — laat zien of de groep de drijvers echt heeft begrepen.</w:t>
      </w:r>
    </w:p>
    <w:p>
      <w:pPr>
        <w:pStyle w:val="Heading2"/>
        <w:spacing w:after="140" w:before="260"/>
      </w:pPr>
      <w:r>
        <w:rPr>
          <w:b/>
          <w:bCs/>
          <w:color w:val="4A6789"/>
          <w:sz w:val="24"/>
          <w:szCs w:val="24"/>
        </w:rPr>
        <w:t xml:space="preserve">3.8 Event-driven (slides 24–30, 25 minuten)</w:t>
      </w:r>
    </w:p>
    <w:p>
      <w:pPr>
        <w:spacing w:after="160" w:line="276"/>
      </w:pPr>
      <w:r>
        <w:rPr>
          <w:b/>
          <w:bCs/>
          <w:color w:val="1F2937"/>
          <w:sz w:val="22"/>
          <w:szCs w:val="22"/>
        </w:rPr>
        <w:t xml:space="preserve">Houd dit compact. </w:t>
      </w:r>
      <w:r>
        <w:rPr>
          <w:color w:val="1F2937"/>
          <w:sz w:val="22"/>
          <w:szCs w:val="22"/>
        </w:rPr>
        <w:t xml:space="preserve">De verleiding is groot om event sourcing en CQRS uit te diepen; dat hoort in niveau 2, deel 14. Wat hier moet landen zijn drie dingen:</w:t>
      </w:r>
    </w:p>
    <w:p>
      <w:pPr>
        <w:pStyle w:val="ListParagraph"/>
        <w:numPr>
          <w:ilvl w:val="0"/>
          <w:numId w:val="2"/>
        </w:numPr>
        <w:spacing w:after="100"/>
      </w:pPr>
      <w:r>
        <w:rPr>
          <w:b/>
          <w:bCs/>
          <w:color w:val="1F2937"/>
          <w:sz w:val="22"/>
          <w:szCs w:val="22"/>
        </w:rPr>
        <w:t xml:space="preserve">Slide 25: </w:t>
      </w:r>
      <w:r>
        <w:rPr>
          <w:color w:val="1F2937"/>
          <w:sz w:val="22"/>
          <w:szCs w:val="22"/>
        </w:rPr>
        <w:t xml:space="preserve">event-driven is een communicatievorm, geen verpakkingsvorm. Kan binnen één eenheid.</w:t>
      </w:r>
    </w:p>
    <w:p>
      <w:pPr>
        <w:pStyle w:val="ListParagraph"/>
        <w:numPr>
          <w:ilvl w:val="0"/>
          <w:numId w:val="2"/>
        </w:numPr>
        <w:spacing w:after="100"/>
      </w:pPr>
      <w:r>
        <w:rPr>
          <w:b/>
          <w:bCs/>
          <w:color w:val="1F2937"/>
          <w:sz w:val="22"/>
          <w:szCs w:val="22"/>
        </w:rPr>
        <w:t xml:space="preserve">Slide 27: </w:t>
      </w:r>
      <w:r>
        <w:rPr>
          <w:color w:val="1F2937"/>
          <w:sz w:val="22"/>
          <w:szCs w:val="22"/>
        </w:rPr>
        <w:t xml:space="preserve">statusoverdracht lijkt op sprint 4, en verschilt in geldigheidsduur en volgorde. Dit is de waarschuwing tegen het beoordelen van een ontwerp op zijn vorm — hetzelfde punt als bij de batch-rekensom in deel 4.</w:t>
      </w:r>
    </w:p>
    <w:p>
      <w:pPr>
        <w:pStyle w:val="ListParagraph"/>
        <w:numPr>
          <w:ilvl w:val="0"/>
          <w:numId w:val="2"/>
        </w:numPr>
        <w:spacing w:after="100"/>
      </w:pPr>
      <w:r>
        <w:rPr>
          <w:b/>
          <w:bCs/>
          <w:color w:val="1F2937"/>
          <w:sz w:val="22"/>
          <w:szCs w:val="22"/>
        </w:rPr>
        <w:t xml:space="preserve">Slide 28: </w:t>
      </w:r>
      <w:r>
        <w:rPr>
          <w:color w:val="1F2937"/>
          <w:sz w:val="22"/>
          <w:szCs w:val="22"/>
        </w:rPr>
        <w:t xml:space="preserve">eindtoestand is eenvoudiger, gebeurtenissen zijn aantoonbaar. Dat is de afweging die deelnemers op dit niveau moeten kunnen maken; de uitwerking komt later.</w:t>
      </w:r>
    </w:p>
    <w:p>
      <w:pPr>
        <w:spacing w:after="160" w:line="276"/>
      </w:pPr>
      <w:r>
        <w:rPr>
          <w:b/>
          <w:bCs/>
          <w:color w:val="1F2937"/>
          <w:sz w:val="22"/>
          <w:szCs w:val="22"/>
        </w:rPr>
        <w:t xml:space="preserve">Orkestratie/choreografie (slides 29–30). </w:t>
      </w:r>
      <w:r>
        <w:rPr>
          <w:color w:val="1F2937"/>
          <w:sz w:val="22"/>
          <w:szCs w:val="22"/>
        </w:rPr>
        <w:t xml:space="preserve">Het argument is hier niet technisch maar toezichtgedreven, en dat is voor deze doelgroep het overtuigendst: een proces dat nergens beschreven staat, is niet aantoonbaar.</w:t>
      </w:r>
    </w:p>
    <w:p>
      <w:pPr>
        <w:spacing w:after="160" w:line="276"/>
      </w:pPr>
      <w:r>
        <w:rPr>
          <w:color w:val="1F2937"/>
          <w:sz w:val="22"/>
          <w:szCs w:val="22"/>
        </w:rPr>
        <w:t xml:space="preserve">Als u opdracht 5.5 doet, geef dan alleen de tabel en laat het argument uit het debat komen. Let dan op het moment waarop de choreografiepleiters een handhavingscomponent invoeren die weigert door te geven zonder goedkeuringsgebeurtenis — benoem vriendelijk dat zij zojuist een orkestrator hebben gebouwd. Dat is het beste moment van de opdracht.</w:t>
      </w:r>
    </w:p>
    <w:p>
      <w:pPr>
        <w:pStyle w:val="Heading2"/>
        <w:spacing w:after="140" w:before="260"/>
      </w:pPr>
      <w:r>
        <w:rPr>
          <w:b/>
          <w:bCs/>
          <w:color w:val="4A6789"/>
          <w:sz w:val="24"/>
          <w:szCs w:val="24"/>
        </w:rPr>
        <w:t xml:space="preserve">3.9 B4 sluiten (slides 33–35)</w:t>
      </w:r>
    </w:p>
    <w:p>
      <w:pPr>
        <w:spacing w:after="160" w:line="276"/>
      </w:pPr>
      <w:r>
        <w:rPr>
          <w:b/>
          <w:bCs/>
          <w:color w:val="1F2937"/>
          <w:sz w:val="22"/>
          <w:szCs w:val="22"/>
        </w:rPr>
        <w:t xml:space="preserve">Neem hier echt tien minuten voor. </w:t>
      </w:r>
      <w:r>
        <w:rPr>
          <w:color w:val="1F2937"/>
          <w:sz w:val="22"/>
          <w:szCs w:val="22"/>
        </w:rPr>
        <w:t xml:space="preserve">Dit is het sluitstuk van twee dagdelen.</w:t>
      </w:r>
    </w:p>
    <w:p>
      <w:pPr>
        <w:spacing w:after="160" w:line="276"/>
      </w:pPr>
      <w:r>
        <w:rPr>
          <w:color w:val="1F2937"/>
          <w:sz w:val="22"/>
          <w:szCs w:val="22"/>
        </w:rPr>
        <w:t xml:space="preserve">Loop de drie stappen van slide 34 langs, en besteed de meeste aandacht aan stap 1: de vraag is nooit gesteld. Nul van vier vaststellen is een gesprek van een middag geweest — dat is de kern van de verspilling.</w:t>
      </w:r>
    </w:p>
    <w:p>
      <w:pPr>
        <w:spacing w:after="160" w:line="276"/>
      </w:pPr>
      <w:r>
        <w:rPr>
          <w:b/>
          <w:bCs/>
          <w:color w:val="1F2937"/>
          <w:sz w:val="22"/>
          <w:szCs w:val="22"/>
        </w:rPr>
        <w:t xml:space="preserve">Slide 35 is de belangrijkste zin van het dagdeel </w:t>
      </w:r>
      <w:r>
        <w:rPr>
          <w:color w:val="1F2937"/>
          <w:sz w:val="22"/>
          <w:szCs w:val="22"/>
        </w:rPr>
        <w:t xml:space="preserve">en de reden dat u niet als modulith-verkoper wegloopt: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4A6789" w:sz="4"/>
              <w:left w:val="single" w:color="1F3A5F" w:sz="24"/>
              <w:bottom w:val="single" w:color="E5E7EB" w:sz="4"/>
              <w:right w:val="single" w:color="E5E7EB" w:sz="4"/>
            </w:tcBorders>
            <w:shd w:fill="F3F4F6" w:val="clear"/>
            <w:tcMar>
              <w:top w:type="dxa" w:w="160"/>
              <w:left w:type="dxa" w:w="220"/>
              <w:bottom w:type="dxa" w:w="160"/>
              <w:right w:type="dxa" w:w="220"/>
            </w:tcMar>
          </w:tcPr>
          <w:p>
            <w:r>
              <w:rPr>
                <w:i/>
                <w:iCs/>
                <w:color w:val="1F2937"/>
                <w:sz w:val="21"/>
                <w:szCs w:val="21"/>
              </w:rPr>
              <w:t xml:space="preserve">wie vandaag de modulith kiest omdat deze reader hem aanbeveelt, in plaats van omdat nul van de vier drijvers aanwezig is, heeft niets geleerd — alleen een andere mode overgenomen.</w:t>
            </w:r>
          </w:p>
        </w:tc>
      </w:tr>
    </w:tbl>
    <w:p>
      <w:pPr>
        <w:spacing w:after="160" w:line="276"/>
      </w:pPr>
      <w:r>
        <w:rPr>
          <w:color w:val="1F2937"/>
          <w:sz w:val="22"/>
          <w:szCs w:val="22"/>
        </w:rPr>
        <w:t xml:space="preserve">Zeg hem langzaam, en laat er stilte na vallen.</w:t>
      </w:r>
    </w:p>
    <w:p>
      <w:pPr>
        <w:pStyle w:val="Heading1"/>
        <w:pBdr>
          <w:bottom w:val="single" w:color="E5E7EB" w:sz="6" w:space="6"/>
        </w:pBdr>
        <w:spacing w:after="180" w:before="380"/>
      </w:pPr>
      <w:r>
        <w:rPr>
          <w:b/>
          <w:bCs/>
          <w:color w:val="1F3A5F"/>
          <w:sz w:val="30"/>
          <w:szCs w:val="30"/>
        </w:rPr>
        <w:t xml:space="preserve">4. Omgaan met bijzondere situaties</w:t>
      </w:r>
    </w:p>
    <w:p>
      <w:pPr>
        <w:spacing w:after="160" w:line="276"/>
      </w:pPr>
      <w:r>
        <w:rPr>
          <w:b/>
          <w:bCs/>
          <w:color w:val="1F2937"/>
          <w:sz w:val="22"/>
          <w:szCs w:val="22"/>
        </w:rPr>
        <w:t xml:space="preserve">Een deelnemer werkt in een microservices-organisatie en voelt zich aangevallen. </w:t>
      </w:r>
      <w:r>
        <w:rPr>
          <w:color w:val="1F2937"/>
          <w:sz w:val="22"/>
          <w:szCs w:val="22"/>
        </w:rPr>
        <w:t xml:space="preserve">Dit is het meest voorkomende risico van dit deel. Drie dingen helpen:</w:t>
      </w:r>
    </w:p>
    <w:p>
      <w:pPr>
        <w:pStyle w:val="ListParagraph"/>
        <w:numPr>
          <w:ilvl w:val="0"/>
          <w:numId w:val="4"/>
        </w:numPr>
        <w:spacing w:after="120"/>
      </w:pPr>
      <w:r>
        <w:rPr>
          <w:b/>
          <w:bCs/>
          <w:color w:val="1F2937"/>
          <w:sz w:val="22"/>
          <w:szCs w:val="22"/>
        </w:rPr>
        <w:t xml:space="preserve">Erken vroeg </w:t>
      </w:r>
      <w:r>
        <w:rPr>
          <w:color w:val="1F2937"/>
          <w:sz w:val="22"/>
          <w:szCs w:val="22"/>
        </w:rPr>
        <w:t xml:space="preserve">(slide 22) dat microservices niet fout maar duur zijn, en dat er situaties zijn waarin de prijs zich terugbetaalt.</w:t>
      </w:r>
    </w:p>
    <w:p>
      <w:pPr>
        <w:pStyle w:val="ListParagraph"/>
        <w:numPr>
          <w:ilvl w:val="0"/>
          <w:numId w:val="4"/>
        </w:numPr>
        <w:spacing w:after="120"/>
      </w:pPr>
      <w:r>
        <w:rPr>
          <w:b/>
          <w:bCs/>
          <w:color w:val="1F2937"/>
          <w:sz w:val="22"/>
          <w:szCs w:val="22"/>
        </w:rPr>
        <w:t xml:space="preserve">Gebruik opdracht 5.2 </w:t>
      </w:r>
      <w:r>
        <w:rPr>
          <w:color w:val="1F2937"/>
          <w:sz w:val="22"/>
          <w:szCs w:val="22"/>
        </w:rPr>
        <w:t xml:space="preserve">systeem B en C om te laten zien dat de toets soms wél positief uitvalt.</w:t>
      </w:r>
    </w:p>
    <w:p>
      <w:pPr>
        <w:pStyle w:val="ListParagraph"/>
        <w:numPr>
          <w:ilvl w:val="0"/>
          <w:numId w:val="4"/>
        </w:numPr>
        <w:spacing w:after="120"/>
      </w:pPr>
      <w:r>
        <w:rPr>
          <w:b/>
          <w:bCs/>
          <w:color w:val="1F2937"/>
          <w:sz w:val="22"/>
          <w:szCs w:val="22"/>
        </w:rPr>
        <w:t xml:space="preserve">Richt de vraag aan die deelnemer als expert, niet als verdachte: </w:t>
      </w:r>
      <w:r>
        <w:rPr>
          <w:color w:val="1F2937"/>
          <w:sz w:val="22"/>
          <w:szCs w:val="22"/>
        </w:rPr>
        <w:t xml:space="preserve">hoeveel van de vier drijvers zijn bij jullie aanwezig? Vaak is het antwoord één of twee, en dan volgt vanzelf de interessante vraag of het aantal diensten daarbij past.</w:t>
      </w:r>
    </w:p>
    <w:p>
      <w:pPr>
        <w:spacing w:after="160" w:line="276"/>
      </w:pPr>
      <w:r>
        <w:rPr>
          <w:b/>
          <w:bCs/>
          <w:color w:val="1F2937"/>
          <w:sz w:val="22"/>
          <w:szCs w:val="22"/>
        </w:rPr>
        <w:t xml:space="preserve">“Wij zijn al gedistribueerd, wat moeten we hiermee?” </w:t>
      </w:r>
      <w:r>
        <w:rPr>
          <w:color w:val="1F2937"/>
          <w:sz w:val="22"/>
          <w:szCs w:val="22"/>
        </w:rPr>
        <w:t xml:space="preserve">Legitieme vraag en u moet er een antwoord op hebben. Het antwoord is slide 7 plus de vervolgvraag: de reparatie is modulariseren binnen de bestaande diensten en vervolgens samenvoegen wat geen eigen drijver heeft. Samenvoegen is goedkoper dan splitsen, en het wordt zelden overwogen. In niveau 3 (deel 24, modernisering) komt dit uitgebreid terug.</w:t>
      </w:r>
    </w:p>
    <w:p>
      <w:pPr>
        <w:spacing w:after="160" w:line="276"/>
      </w:pPr>
      <w:r>
        <w:rPr>
          <w:b/>
          <w:bCs/>
          <w:color w:val="1F2937"/>
          <w:sz w:val="22"/>
          <w:szCs w:val="22"/>
        </w:rPr>
        <w:t xml:space="preserve">De transactiediscussie loopt uit. </w:t>
      </w:r>
      <w:r>
        <w:rPr>
          <w:color w:val="1F2937"/>
          <w:sz w:val="22"/>
          <w:szCs w:val="22"/>
        </w:rPr>
        <w:t xml:space="preserve">Iemand stelt dat gedistribueerde transacties tegenwoordig prima op te lossen zijn. Dat is deels waar en het is een goede discussie, maar hij hoort in niveau 2. Kap af met: ze zijn oplosbaar, met patronen die ontwerpwerk kosten in elke betrokken dienst. De vraag is niet of het kan maar of u die kosten wilt maken voor een baat die u niet hebt. Parkeer naar niveau 2, deel 14.</w:t>
      </w:r>
    </w:p>
    <w:p>
      <w:pPr>
        <w:spacing w:after="160" w:line="276"/>
      </w:pPr>
      <w:r>
        <w:rPr>
          <w:b/>
          <w:bCs/>
          <w:color w:val="1F2937"/>
          <w:sz w:val="22"/>
          <w:szCs w:val="22"/>
        </w:rPr>
        <w:t xml:space="preserve">De groep vraagt naar service-based als tussenvorm. </w:t>
      </w:r>
      <w:r>
        <w:rPr>
          <w:color w:val="1F2937"/>
          <w:sz w:val="22"/>
          <w:szCs w:val="22"/>
        </w:rPr>
        <w:t xml:space="preserve">Goed opgemerkt en het verdient twee minuten: een handvol grovere diensten, vaak met een gedeelde database, is een reëel middenpunt en het is voor systeem C uit opdracht 5.2 waarschijnlijk het juiste antwoord. Ga er niet dieper op in; het staat in niveau 2, deel 13.</w:t>
      </w:r>
    </w:p>
    <w:p>
      <w:pPr>
        <w:pStyle w:val="Heading1"/>
        <w:pBdr>
          <w:bottom w:val="single" w:color="E5E7EB" w:sz="6" w:space="6"/>
        </w:pBdr>
        <w:spacing w:after="180" w:before="380"/>
      </w:pPr>
      <w:r>
        <w:rPr>
          <w:b/>
          <w:bCs/>
          <w:color w:val="1F3A5F"/>
          <w:sz w:val="30"/>
          <w:szCs w:val="30"/>
        </w:rPr>
        <w:t xml:space="preserve">5. Signalen om mee te nemen</w:t>
      </w:r>
    </w:p>
    <w:p>
      <w:pPr>
        <w:pStyle w:val="ListParagraph"/>
        <w:numPr>
          <w:ilvl w:val="0"/>
          <w:numId w:val="5"/>
        </w:numPr>
        <w:spacing w:after="120"/>
      </w:pPr>
      <w:r>
        <w:rPr>
          <w:b/>
          <w:bCs/>
          <w:color w:val="1F2937"/>
          <w:sz w:val="22"/>
          <w:szCs w:val="22"/>
        </w:rPr>
        <w:t xml:space="preserve">Wie kiest de modulith zonder de drijverstoets te noemen (opdracht 5.7a)? </w:t>
      </w:r>
      <w:r>
        <w:rPr>
          <w:color w:val="1F2937"/>
          <w:sz w:val="22"/>
          <w:szCs w:val="22"/>
        </w:rPr>
        <w:t xml:space="preserve">Heeft mode voor mode geruild. Dit is het belangrijkste signaal van dit deel en het voorspelt een zwakke verdediging in deel 10.</w:t>
      </w:r>
    </w:p>
    <w:p>
      <w:pPr>
        <w:pStyle w:val="ListParagraph"/>
        <w:numPr>
          <w:ilvl w:val="0"/>
          <w:numId w:val="5"/>
        </w:numPr>
        <w:spacing w:after="120"/>
      </w:pPr>
      <w:r>
        <w:rPr>
          <w:b/>
          <w:bCs/>
          <w:color w:val="1F2937"/>
          <w:sz w:val="22"/>
          <w:szCs w:val="22"/>
        </w:rPr>
        <w:t xml:space="preserve">Wie formuleert geen bruikbare herzieningsgrens (5.7b)? </w:t>
      </w:r>
      <w:r>
        <w:rPr>
          <w:color w:val="1F2937"/>
          <w:sz w:val="22"/>
          <w:szCs w:val="22"/>
        </w:rPr>
        <w:t xml:space="preserve">Heeft de trade-offvorm uit deel 2 niet geïnternaliseerd.</w:t>
      </w:r>
    </w:p>
    <w:p>
      <w:pPr>
        <w:pStyle w:val="ListParagraph"/>
        <w:numPr>
          <w:ilvl w:val="0"/>
          <w:numId w:val="5"/>
        </w:numPr>
        <w:spacing w:after="120"/>
      </w:pPr>
      <w:r>
        <w:rPr>
          <w:b/>
          <w:bCs/>
          <w:color w:val="1F2937"/>
          <w:sz w:val="22"/>
          <w:szCs w:val="22"/>
        </w:rPr>
        <w:t xml:space="preserve">Wie kiest bij opdracht 5.3c reflexmatig voor kopieën via gebeurtenissen? </w:t>
      </w:r>
      <w:r>
        <w:rPr>
          <w:color w:val="1F2937"/>
          <w:sz w:val="22"/>
          <w:szCs w:val="22"/>
        </w:rPr>
        <w:t xml:space="preserve">Ontwerpt gedistribueerd zonder gedistribueerd te zijn — let hierop in deel 6, waar dezelfde reflex tot onnodige tactieken leidt.</w:t>
      </w:r>
    </w:p>
    <w:p>
      <w:pPr>
        <w:pStyle w:val="Heading1"/>
        <w:pBdr>
          <w:bottom w:val="single" w:color="E5E7EB" w:sz="6" w:space="6"/>
        </w:pBdr>
        <w:spacing w:after="180" w:before="380"/>
      </w:pPr>
      <w:r>
        <w:rPr>
          <w:b/>
          <w:bCs/>
          <w:color w:val="1F3A5F"/>
          <w:sz w:val="30"/>
          <w:szCs w:val="30"/>
        </w:rPr>
        <w:t xml:space="preserve">6. Benodigdheden</w:t>
      </w:r>
    </w:p>
    <w:p>
      <w:pPr>
        <w:pStyle w:val="ListParagraph"/>
        <w:numPr>
          <w:ilvl w:val="0"/>
          <w:numId w:val="2"/>
        </w:numPr>
        <w:spacing w:after="100"/>
      </w:pPr>
      <w:r>
        <w:rPr>
          <w:color w:val="1F2937"/>
          <w:sz w:val="22"/>
          <w:szCs w:val="22"/>
        </w:rPr>
        <w:t xml:space="preserve">Slidedeck deel 5</w:t>
      </w:r>
    </w:p>
    <w:p>
      <w:pPr>
        <w:pStyle w:val="ListParagraph"/>
        <w:numPr>
          <w:ilvl w:val="0"/>
          <w:numId w:val="2"/>
        </w:numPr>
        <w:spacing w:after="100"/>
      </w:pPr>
      <w:r>
        <w:rPr>
          <w:color w:val="1F2937"/>
          <w:sz w:val="22"/>
          <w:szCs w:val="22"/>
        </w:rPr>
        <w:t xml:space="preserve">Reader en werkboek, per deelnemer</w:t>
      </w:r>
    </w:p>
    <w:p>
      <w:pPr>
        <w:pStyle w:val="ListParagraph"/>
        <w:numPr>
          <w:ilvl w:val="0"/>
          <w:numId w:val="2"/>
        </w:numPr>
        <w:spacing w:after="100"/>
      </w:pPr>
      <w:r>
        <w:rPr>
          <w:color w:val="1F2937"/>
          <w:sz w:val="22"/>
          <w:szCs w:val="22"/>
        </w:rPr>
        <w:t xml:space="preserve">Parkeerlijst uit deel 4 — onmisbaar voor de opening</w:t>
      </w:r>
    </w:p>
    <w:p>
      <w:pPr>
        <w:pStyle w:val="ListParagraph"/>
        <w:numPr>
          <w:ilvl w:val="0"/>
          <w:numId w:val="2"/>
        </w:numPr>
        <w:spacing w:after="100"/>
      </w:pPr>
      <w:r>
        <w:rPr>
          <w:color w:val="1F2937"/>
          <w:sz w:val="22"/>
          <w:szCs w:val="22"/>
        </w:rPr>
        <w:t xml:space="preserve">Bijlage K, inclusief het deploybeeld (vandaag pas uitdelen)</w:t>
      </w:r>
    </w:p>
    <w:p>
      <w:pPr>
        <w:pStyle w:val="ListParagraph"/>
        <w:numPr>
          <w:ilvl w:val="0"/>
          <w:numId w:val="2"/>
        </w:numPr>
        <w:spacing w:after="100"/>
      </w:pPr>
      <w:r>
        <w:rPr>
          <w:color w:val="1F2937"/>
          <w:sz w:val="22"/>
          <w:szCs w:val="22"/>
        </w:rPr>
        <w:t xml:space="preserve">Bijlage M: storingsrapportage met zes incidenten en hun doorlooptijd tot oorzaakvaststelling — bruikbaar bij de waarneembaarheidskosten</w:t>
      </w:r>
    </w:p>
    <w:p>
      <w:pPr>
        <w:pStyle w:val="ListParagraph"/>
        <w:numPr>
          <w:ilvl w:val="0"/>
          <w:numId w:val="2"/>
        </w:numPr>
        <w:spacing w:after="100"/>
      </w:pPr>
      <w:r>
        <w:rPr>
          <w:color w:val="1F2937"/>
          <w:sz w:val="22"/>
          <w:szCs w:val="22"/>
        </w:rPr>
        <w:t xml:space="preserve">Bijlage N: sprintbord-fragment sprint 4 met chatberichten</w:t>
      </w:r>
    </w:p>
    <w:p>
      <w:pPr>
        <w:pStyle w:val="ListParagraph"/>
        <w:numPr>
          <w:ilvl w:val="0"/>
          <w:numId w:val="2"/>
        </w:numPr>
        <w:spacing w:after="100"/>
      </w:pPr>
      <w:r>
        <w:rPr>
          <w:color w:val="1F2937"/>
          <w:sz w:val="22"/>
          <w:szCs w:val="22"/>
        </w:rPr>
        <w:t xml:space="preserve">De hexagonen uit opdracht 4.3 (gefotografeerd of op vel) — werkbasis voor opdracht 5.3</w:t>
      </w:r>
    </w:p>
    <w:p>
      <w:pPr>
        <w:pStyle w:val="ListParagraph"/>
        <w:numPr>
          <w:ilvl w:val="0"/>
          <w:numId w:val="2"/>
        </w:numPr>
        <w:spacing w:after="100"/>
      </w:pPr>
      <w:r>
        <w:rPr>
          <w:color w:val="1F2937"/>
          <w:sz w:val="22"/>
          <w:szCs w:val="22"/>
        </w:rPr>
        <w:t xml:space="preserve">Stickers of stiften voor de kwadrantoefening met eigen systemen</w:t>
      </w:r>
    </w:p>
    <w:p>
      <w:pPr>
        <w:pStyle w:val="ListParagraph"/>
        <w:numPr>
          <w:ilvl w:val="0"/>
          <w:numId w:val="2"/>
        </w:numPr>
        <w:spacing w:after="100"/>
      </w:pPr>
      <w:r>
        <w:rPr>
          <w:color w:val="1F2937"/>
          <w:sz w:val="22"/>
          <w:szCs w:val="22"/>
        </w:rPr>
        <w:t xml:space="preserve">Bord waarop het kwadrant de hele dag blijft staan</w:t>
      </w:r>
    </w:p>
    <w:p>
      <w:pPr>
        <w:pStyle w:val="Heading1"/>
        <w:pBdr>
          <w:bottom w:val="single" w:color="E5E7EB" w:sz="6" w:space="6"/>
        </w:pBdr>
        <w:spacing w:after="180" w:before="380"/>
      </w:pPr>
      <w:r>
        <w:rPr>
          <w:b/>
          <w:bCs/>
          <w:color w:val="1F3A5F"/>
          <w:sz w:val="30"/>
          <w:szCs w:val="30"/>
        </w:rPr>
        <w:t xml:space="preserve">7. Aansluiting op het volgende deel</w:t>
      </w:r>
    </w:p>
    <w:p>
      <w:pPr>
        <w:spacing w:after="160" w:line="276"/>
      </w:pPr>
      <w:r>
        <w:rPr>
          <w:color w:val="1F2937"/>
          <w:sz w:val="22"/>
          <w:szCs w:val="22"/>
        </w:rPr>
        <w:t xml:space="preserve">Deel 6 behandelt kwaliteitstactieken en sluit B5. De brug: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4A6789" w:sz="4"/>
              <w:left w:val="single" w:color="1F3A5F" w:sz="24"/>
              <w:bottom w:val="single" w:color="E5E7EB" w:sz="4"/>
              <w:right w:val="single" w:color="E5E7EB" w:sz="4"/>
            </w:tcBorders>
            <w:shd w:fill="F3F4F6" w:val="clear"/>
            <w:tcMar>
              <w:top w:type="dxa" w:w="160"/>
              <w:left w:type="dxa" w:w="220"/>
              <w:bottom w:type="dxa" w:w="160"/>
              <w:right w:type="dxa" w:w="220"/>
            </w:tcMar>
          </w:tcPr>
          <w:p>
            <w:r>
              <w:rPr>
                <w:i/>
                <w:iCs/>
                <w:color w:val="1F2937"/>
                <w:sz w:val="21"/>
                <w:szCs w:val="21"/>
              </w:rPr>
              <w:t xml:space="preserve">we hebben nu een structuur en een distributiekeuze. Maar QS-1 zegt: bevestiging binnen twee seconden bij vijftig gelijktijdige gebruikers, tegen een koppelvlak dat er twintig per seconde aankan. Onze keuzes maken dat mogelijk — ze realiseren het niet. Hoe u een kwaliteitseis werkelijk waarmaakt, en hoe u dat meet vóór week 58, is volgende keer.</w:t>
            </w:r>
          </w:p>
        </w:tc>
      </w:tr>
    </w:tbl>
    <w:p>
      <w:pPr>
        <w:pBdr>
          <w:top w:val="single" w:color="E5E7EB" w:sz="4" w:space="8"/>
        </w:pBdr>
        <w:spacing w:before="400"/>
        <w:jc w:val="center"/>
      </w:pPr>
      <w:r>
        <w:rPr>
          <w:i/>
          <w:iCs/>
          <w:color w:val="6B7280"/>
          <w:sz w:val="17"/>
          <w:szCs w:val="17"/>
        </w:rPr>
        <w:t xml:space="preserve">Ductus B.V.  ·  Cursus Softwarearchitectuur  ·  Niveau 1, deel 5  ·  Docentenhandleiding</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1, deel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2026-08-17T14:07:54.783Z</dcterms:created>
  <dcterms:modified xsi:type="dcterms:W3CDTF">2026-08-17T14:07:54.785Z</dcterms:modified>
</cp:coreProperties>
</file>

<file path=docProps/custom.xml><?xml version="1.0" encoding="utf-8"?>
<Properties xmlns="http://schemas.openxmlformats.org/officeDocument/2006/custom-properties" xmlns:vt="http://schemas.openxmlformats.org/officeDocument/2006/docPropsVTypes"/>
</file>