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8 — Cross-cutting concepten</w:t>
      </w:r>
    </w:p>
    <w:p>
      <w:pPr>
        <w:spacing w:after="200"/>
      </w:pPr>
      <w:r>
        <w:rPr>
          <w:b/>
          <w:bCs/>
          <w:color w:val="4A6789"/>
          <w:sz w:val="26"/>
          <w:szCs w:val="26"/>
        </w:rPr>
        <w:t xml:space="preserve">Werkboek met opdrachten</w:t>
      </w:r>
    </w:p>
    <w:p>
      <w:pPr>
        <w:spacing w:after="400"/>
      </w:pPr>
      <w:r>
        <w:rPr>
          <w:color w:val="6B7280"/>
          <w:sz w:val="20"/>
          <w:szCs w:val="20"/>
        </w:rPr>
        <w:t xml:space="preserve">Cursus Softwarearchitectuur · Niveau 1 (CPSA-F) · Deel 8 van 10</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T: foutafhandeling in Mutatie 1.0 — vier verschillende benaderingen, met per service de gekozen aanpak</w:t>
      </w:r>
    </w:p>
    <w:p>
      <w:pPr>
        <w:pStyle w:val="ListParagraph"/>
        <w:numPr>
          <w:ilvl w:val="0"/>
          <w:numId w:val="2"/>
        </w:numPr>
        <w:spacing w:after="100"/>
      </w:pPr>
      <w:r>
        <w:rPr>
          <w:color w:val="1F2937"/>
          <w:sz w:val="22"/>
          <w:szCs w:val="22"/>
        </w:rPr>
        <w:t xml:space="preserve">Bijlage U: drie storingsverslagen uit de acceptatieomgeving, met de reconstructie die beheer moest maken en de tijd die dat kostte</w:t>
      </w:r>
    </w:p>
    <w:p>
      <w:pPr>
        <w:pStyle w:val="ListParagraph"/>
        <w:numPr>
          <w:ilvl w:val="0"/>
          <w:numId w:val="2"/>
        </w:numPr>
        <w:spacing w:after="100"/>
      </w:pPr>
      <w:r>
        <w:rPr>
          <w:color w:val="1F2937"/>
          <w:sz w:val="22"/>
          <w:szCs w:val="22"/>
        </w:rPr>
        <w:t xml:space="preserve">Bijlage V: vier gevallen van datumproblemen uit de productieomgeving van Meridiaan (kernadministratie), elk met de gevolgen voor deelnemers</w:t>
      </w:r>
    </w:p>
    <w:p>
      <w:pPr>
        <w:pStyle w:val="ListParagraph"/>
        <w:numPr>
          <w:ilvl w:val="0"/>
          <w:numId w:val="2"/>
        </w:numPr>
        <w:spacing w:after="100"/>
      </w:pPr>
      <w:r>
        <w:rPr>
          <w:color w:val="1F2937"/>
          <w:sz w:val="22"/>
          <w:szCs w:val="22"/>
        </w:rPr>
        <w:t xml:space="preserve">Uw C4-diagrammen en arc42-opzet uit deel 7</w:t>
      </w:r>
    </w:p>
    <w:p>
      <w:pPr>
        <w:pStyle w:val="Heading1"/>
        <w:pBdr>
          <w:bottom w:val="single" w:color="E5E7EB" w:sz="6" w:space="6"/>
        </w:pBdr>
        <w:spacing w:after="180" w:before="380"/>
      </w:pPr>
      <w:r>
        <w:rPr>
          <w:b/>
          <w:bCs/>
          <w:color w:val="1F3A5F"/>
          <w:sz w:val="30"/>
          <w:szCs w:val="30"/>
        </w:rPr>
        <w:t xml:space="preserve">Opdracht 8.1 — Is het een cross-cutting concept? (individueel, 15 minuten)</w:t>
      </w:r>
    </w:p>
    <w:p>
      <w:pPr>
        <w:spacing w:after="160" w:line="276"/>
      </w:pPr>
      <w:r>
        <w:rPr>
          <w:color w:val="1F2937"/>
          <w:sz w:val="22"/>
          <w:szCs w:val="22"/>
        </w:rPr>
        <w:t xml:space="preserve">Beoordeel per onderwerp of het een cross-cutting concept is dat vastlegging verdient, of een implementatiekeuze die u aan de teams laat. Gebruik de toets uit paragraaf 8.2: als twee teams dit ieder voor zich oplossen, hebben we dan een probleem?</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9138"/>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9138"/>
            <w:shd w:fill="1F3A5F" w:val="clear"/>
            <w:tcMar>
              <w:top w:type="dxa" w:w="100"/>
              <w:left w:type="dxa" w:w="120"/>
              <w:bottom w:type="dxa" w:w="100"/>
              <w:right w:type="dxa" w:w="120"/>
            </w:tcMar>
            <w:vAlign w:val="center"/>
          </w:tcPr>
          <w:p>
            <w:r>
              <w:rPr>
                <w:b/>
                <w:bCs/>
                <w:color w:val="FFFFFF"/>
                <w:sz w:val="19"/>
                <w:szCs w:val="19"/>
              </w:rPr>
              <w:t xml:space="preserve">Onderwerp</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9138"/>
            <w:tcMar>
              <w:top w:type="dxa" w:w="100"/>
              <w:left w:type="dxa" w:w="120"/>
              <w:bottom w:type="dxa" w:w="100"/>
              <w:right w:type="dxa" w:w="120"/>
            </w:tcMar>
            <w:vAlign w:val="center"/>
          </w:tcPr>
          <w:p>
            <w:r>
              <w:rPr>
                <w:b w:val="false"/>
                <w:bCs w:val="false"/>
                <w:color w:val="1F2937"/>
                <w:sz w:val="19"/>
                <w:szCs w:val="19"/>
              </w:rPr>
              <w:t xml:space="preserve">De manier waarop een fout aan de deelnemer wordt getoond</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9138"/>
            <w:tcMar>
              <w:top w:type="dxa" w:w="100"/>
              <w:left w:type="dxa" w:w="120"/>
              <w:bottom w:type="dxa" w:w="100"/>
              <w:right w:type="dxa" w:w="120"/>
            </w:tcMar>
            <w:vAlign w:val="center"/>
          </w:tcPr>
          <w:p>
            <w:r>
              <w:rPr>
                <w:b w:val="false"/>
                <w:bCs w:val="false"/>
                <w:color w:val="1F2937"/>
                <w:sz w:val="19"/>
                <w:szCs w:val="19"/>
              </w:rPr>
              <w:t xml:space="preserve">De naamgeving van variabelen binnen een module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9138"/>
            <w:tcMar>
              <w:top w:type="dxa" w:w="100"/>
              <w:left w:type="dxa" w:w="120"/>
              <w:bottom w:type="dxa" w:w="100"/>
              <w:right w:type="dxa" w:w="120"/>
            </w:tcMar>
            <w:vAlign w:val="center"/>
          </w:tcPr>
          <w:p>
            <w:r>
              <w:rPr>
                <w:b w:val="false"/>
                <w:bCs w:val="false"/>
                <w:color w:val="1F2937"/>
                <w:sz w:val="19"/>
                <w:szCs w:val="19"/>
              </w:rPr>
              <w:t xml:space="preserve">Hoe een module zijn eigen gegevens intern structureert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9138"/>
            <w:tcMar>
              <w:top w:type="dxa" w:w="100"/>
              <w:left w:type="dxa" w:w="120"/>
              <w:bottom w:type="dxa" w:w="100"/>
              <w:right w:type="dxa" w:w="120"/>
            </w:tcMar>
            <w:vAlign w:val="center"/>
          </w:tcPr>
          <w:p>
            <w:r>
              <w:rPr>
                <w:b w:val="false"/>
                <w:bCs w:val="false"/>
                <w:color w:val="1F2937"/>
                <w:sz w:val="19"/>
                <w:szCs w:val="19"/>
              </w:rPr>
              <w:t xml:space="preserve">Het formaat van een correlatie-identificatie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9138"/>
            <w:tcMar>
              <w:top w:type="dxa" w:w="100"/>
              <w:left w:type="dxa" w:w="120"/>
              <w:bottom w:type="dxa" w:w="100"/>
              <w:right w:type="dxa" w:w="120"/>
            </w:tcMar>
            <w:vAlign w:val="center"/>
          </w:tcPr>
          <w:p>
            <w:r>
              <w:rPr>
                <w:b w:val="false"/>
                <w:bCs w:val="false"/>
                <w:color w:val="1F2937"/>
                <w:sz w:val="19"/>
                <w:szCs w:val="19"/>
              </w:rPr>
              <w:t xml:space="preserve">Welke datum leidend is bij een berekening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6</w:t>
            </w:r>
          </w:p>
        </w:tc>
        <w:tc>
          <w:tcPr>
            <w:tcW w:type="dxa" w:w="9138"/>
            <w:tcMar>
              <w:top w:type="dxa" w:w="100"/>
              <w:left w:type="dxa" w:w="120"/>
              <w:bottom w:type="dxa" w:w="100"/>
              <w:right w:type="dxa" w:w="120"/>
            </w:tcMar>
            <w:vAlign w:val="center"/>
          </w:tcPr>
          <w:p>
            <w:r>
              <w:rPr>
                <w:b w:val="false"/>
                <w:bCs w:val="false"/>
                <w:color w:val="1F2937"/>
                <w:sz w:val="19"/>
                <w:szCs w:val="19"/>
              </w:rPr>
              <w:t xml:space="preserve">De keuze voor een bepaalde bibliotheek voor datumberekening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7</w:t>
            </w:r>
          </w:p>
        </w:tc>
        <w:tc>
          <w:tcPr>
            <w:tcW w:type="dxa" w:w="9138"/>
            <w:tcMar>
              <w:top w:type="dxa" w:w="100"/>
              <w:left w:type="dxa" w:w="120"/>
              <w:bottom w:type="dxa" w:w="100"/>
              <w:right w:type="dxa" w:w="120"/>
            </w:tcMar>
            <w:vAlign w:val="center"/>
          </w:tcPr>
          <w:p>
            <w:r>
              <w:rPr>
                <w:b w:val="false"/>
                <w:bCs w:val="false"/>
                <w:color w:val="1F2937"/>
                <w:sz w:val="19"/>
                <w:szCs w:val="19"/>
              </w:rPr>
              <w:t xml:space="preserve">Hoe lang een mutatie in de wachtrij mag staan voordat beheer wordt gewaarschuwd</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8</w:t>
            </w:r>
          </w:p>
        </w:tc>
        <w:tc>
          <w:tcPr>
            <w:tcW w:type="dxa" w:w="9138"/>
            <w:tcMar>
              <w:top w:type="dxa" w:w="100"/>
              <w:left w:type="dxa" w:w="120"/>
              <w:bottom w:type="dxa" w:w="100"/>
              <w:right w:type="dxa" w:w="120"/>
            </w:tcMar>
            <w:vAlign w:val="center"/>
          </w:tcPr>
          <w:p>
            <w:r>
              <w:rPr>
                <w:b w:val="false"/>
                <w:bCs w:val="false"/>
                <w:color w:val="1F2937"/>
                <w:sz w:val="19"/>
                <w:szCs w:val="19"/>
              </w:rPr>
              <w:t xml:space="preserve">De schermindeling van het behandelaarsscherm</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9</w:t>
            </w:r>
          </w:p>
        </w:tc>
        <w:tc>
          <w:tcPr>
            <w:tcW w:type="dxa" w:w="9138"/>
            <w:tcMar>
              <w:top w:type="dxa" w:w="100"/>
              <w:left w:type="dxa" w:w="120"/>
              <w:bottom w:type="dxa" w:w="100"/>
              <w:right w:type="dxa" w:w="120"/>
            </w:tcMar>
            <w:vAlign w:val="center"/>
          </w:tcPr>
          <w:p>
            <w:r>
              <w:rPr>
                <w:b w:val="false"/>
                <w:bCs w:val="false"/>
                <w:color w:val="1F2937"/>
                <w:sz w:val="19"/>
                <w:szCs w:val="19"/>
              </w:rPr>
              <w:t xml:space="preserve">Waar een bedrijfsregel wordt gevalideerd</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10</w:t>
            </w:r>
          </w:p>
        </w:tc>
        <w:tc>
          <w:tcPr>
            <w:tcW w:type="dxa" w:w="9138"/>
            <w:tcMar>
              <w:top w:type="dxa" w:w="100"/>
              <w:left w:type="dxa" w:w="120"/>
              <w:bottom w:type="dxa" w:w="100"/>
              <w:right w:type="dxa" w:w="120"/>
            </w:tcMar>
            <w:vAlign w:val="center"/>
          </w:tcPr>
          <w:p>
            <w:r>
              <w:rPr>
                <w:b w:val="false"/>
                <w:bCs w:val="false"/>
                <w:color w:val="1F2937"/>
                <w:sz w:val="19"/>
                <w:szCs w:val="19"/>
              </w:rPr>
              <w:t xml:space="preserve">Hoe testgegevens worden gegenereerd</w:t>
            </w:r>
          </w:p>
        </w:tc>
      </w:tr>
    </w:tbl>
    <w:p>
      <w:pPr>
        <w:spacing w:after="300"/>
      </w:pPr>
    </w:p>
    <w:p>
      <w:pPr>
        <w:spacing w:after="160" w:line="276"/>
      </w:pPr>
      <w:r>
        <w:rPr>
          <w:b/>
          <w:bCs/>
          <w:color w:val="1F2937"/>
          <w:sz w:val="22"/>
          <w:szCs w:val="22"/>
        </w:rPr>
        <w:t xml:space="preserve">Bij de twijfelgevallen: </w:t>
      </w:r>
      <w:r>
        <w:rPr>
          <w:color w:val="1F2937"/>
          <w:sz w:val="22"/>
          <w:szCs w:val="22"/>
        </w:rPr>
        <w:t xml:space="preserve">welk aanvullend gegeven zou uw oordeel doen kantelen?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8.1</w:t>
            </w:r>
          </w:p>
          <w:p>
            <w:pPr>
              <w:spacing w:after="80"/>
            </w:pP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2200"/>
              <w:gridCol w:w="6438"/>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2200"/>
                  <w:shd w:fill="1F3A5F" w:val="clear"/>
                  <w:tcMar>
                    <w:top w:type="dxa" w:w="100"/>
                    <w:left w:type="dxa" w:w="120"/>
                    <w:bottom w:type="dxa" w:w="100"/>
                    <w:right w:type="dxa" w:w="120"/>
                  </w:tcMar>
                  <w:vAlign w:val="center"/>
                </w:tcPr>
                <w:p>
                  <w:r>
                    <w:rPr>
                      <w:b/>
                      <w:bCs/>
                      <w:color w:val="FFFFFF"/>
                      <w:sz w:val="19"/>
                      <w:szCs w:val="19"/>
                    </w:rPr>
                    <w:t xml:space="preserve">Oordeel</w:t>
                  </w:r>
                </w:p>
              </w:tc>
              <w:tc>
                <w:tcPr>
                  <w:tcW w:type="dxa" w:w="6438"/>
                  <w:shd w:fill="1F3A5F" w:val="clear"/>
                  <w:tcMar>
                    <w:top w:type="dxa" w:w="100"/>
                    <w:left w:type="dxa" w:w="120"/>
                    <w:bottom w:type="dxa" w:w="100"/>
                    <w:right w:type="dxa" w:w="120"/>
                  </w:tcMar>
                  <w:vAlign w:val="center"/>
                </w:tcPr>
                <w:p>
                  <w:r>
                    <w:rPr>
                      <w:b/>
                      <w:bCs/>
                      <w:color w:val="FFFFFF"/>
                      <w:sz w:val="19"/>
                      <w:szCs w:val="19"/>
                    </w:rPr>
                    <w:t xml:space="preserve">Toelichting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2200"/>
                  <w:tcMar>
                    <w:top w:type="dxa" w:w="100"/>
                    <w:left w:type="dxa" w:w="120"/>
                    <w:bottom w:type="dxa" w:w="100"/>
                    <w:right w:type="dxa" w:w="120"/>
                  </w:tcMar>
                  <w:vAlign w:val="center"/>
                </w:tcPr>
                <w:p>
                  <w:r>
                    <w:rPr>
                      <w:b w:val="false"/>
                      <w:bCs w:val="false"/>
                      <w:color w:val="1F2937"/>
                      <w:sz w:val="19"/>
                      <w:szCs w:val="19"/>
                    </w:rPr>
                    <w:t xml:space="preserve">Concept</w:t>
                  </w:r>
                </w:p>
              </w:tc>
              <w:tc>
                <w:tcPr>
                  <w:tcW w:type="dxa" w:w="6438"/>
                  <w:tcMar>
                    <w:top w:type="dxa" w:w="100"/>
                    <w:left w:type="dxa" w:w="120"/>
                    <w:bottom w:type="dxa" w:w="100"/>
                    <w:right w:type="dxa" w:w="120"/>
                  </w:tcMar>
                  <w:vAlign w:val="center"/>
                </w:tcPr>
                <w:p>
                  <w:r>
                    <w:rPr>
                      <w:b w:val="false"/>
                      <w:bCs w:val="false"/>
                      <w:color w:val="1F2937"/>
                      <w:sz w:val="19"/>
                      <w:szCs w:val="19"/>
                    </w:rPr>
                    <w:t xml:space="preserve">Twee teams die verschillende foutstijlen kiezen, leveren een systeem op dat voor de deelnemer inconsistent aanvoelt en waarin de behandelaar niet weet wat een melding betekent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2200"/>
                  <w:tcMar>
                    <w:top w:type="dxa" w:w="100"/>
                    <w:left w:type="dxa" w:w="120"/>
                    <w:bottom w:type="dxa" w:w="100"/>
                    <w:right w:type="dxa" w:w="120"/>
                  </w:tcMar>
                  <w:vAlign w:val="center"/>
                </w:tcPr>
                <w:p>
                  <w:r>
                    <w:rPr>
                      <w:b w:val="false"/>
                      <w:bCs w:val="false"/>
                      <w:color w:val="1F2937"/>
                      <w:sz w:val="19"/>
                      <w:szCs w:val="19"/>
                    </w:rPr>
                    <w:t xml:space="preserve">Implementatiekeuze</w:t>
                  </w:r>
                </w:p>
              </w:tc>
              <w:tc>
                <w:tcPr>
                  <w:tcW w:type="dxa" w:w="6438"/>
                  <w:tcMar>
                    <w:top w:type="dxa" w:w="100"/>
                    <w:left w:type="dxa" w:w="120"/>
                    <w:bottom w:type="dxa" w:w="100"/>
                    <w:right w:type="dxa" w:w="120"/>
                  </w:tcMar>
                  <w:vAlign w:val="center"/>
                </w:tcPr>
                <w:p>
                  <w:r>
                    <w:rPr>
                      <w:b w:val="false"/>
                      <w:bCs w:val="false"/>
                      <w:color w:val="1F2937"/>
                      <w:sz w:val="19"/>
                      <w:szCs w:val="19"/>
                    </w:rPr>
                    <w:t xml:space="preserve">Blijft binnen de module; hooguit een teamafspraak</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2200"/>
                  <w:tcMar>
                    <w:top w:type="dxa" w:w="100"/>
                    <w:left w:type="dxa" w:w="120"/>
                    <w:bottom w:type="dxa" w:w="100"/>
                    <w:right w:type="dxa" w:w="120"/>
                  </w:tcMar>
                  <w:vAlign w:val="center"/>
                </w:tcPr>
                <w:p>
                  <w:r>
                    <w:rPr>
                      <w:b w:val="false"/>
                      <w:bCs w:val="false"/>
                      <w:color w:val="1F2937"/>
                      <w:sz w:val="19"/>
                      <w:szCs w:val="19"/>
                    </w:rPr>
                    <w:t xml:space="preserve">Implementatiekeuze</w:t>
                  </w:r>
                </w:p>
              </w:tc>
              <w:tc>
                <w:tcPr>
                  <w:tcW w:type="dxa" w:w="6438"/>
                  <w:tcMar>
                    <w:top w:type="dxa" w:w="100"/>
                    <w:left w:type="dxa" w:w="120"/>
                    <w:bottom w:type="dxa" w:w="100"/>
                    <w:right w:type="dxa" w:w="120"/>
                  </w:tcMar>
                  <w:vAlign w:val="center"/>
                </w:tcPr>
                <w:p>
                  <w:r>
                    <w:rPr>
                      <w:b w:val="false"/>
                      <w:bCs w:val="false"/>
                      <w:color w:val="1F2937"/>
                      <w:sz w:val="19"/>
                      <w:szCs w:val="19"/>
                    </w:rPr>
                    <w:t xml:space="preserve">Dit is precies wat modulegrenzen beschermen — bemoei u er niet mee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2200"/>
                  <w:tcMar>
                    <w:top w:type="dxa" w:w="100"/>
                    <w:left w:type="dxa" w:w="120"/>
                    <w:bottom w:type="dxa" w:w="100"/>
                    <w:right w:type="dxa" w:w="120"/>
                  </w:tcMar>
                  <w:vAlign w:val="center"/>
                </w:tcPr>
                <w:p>
                  <w:r>
                    <w:rPr>
                      <w:b w:val="false"/>
                      <w:bCs w:val="false"/>
                      <w:color w:val="1F2937"/>
                      <w:sz w:val="19"/>
                      <w:szCs w:val="19"/>
                    </w:rPr>
                    <w:t xml:space="preserve">Concept</w:t>
                  </w:r>
                </w:p>
              </w:tc>
              <w:tc>
                <w:tcPr>
                  <w:tcW w:type="dxa" w:w="6438"/>
                  <w:tcMar>
                    <w:top w:type="dxa" w:w="100"/>
                    <w:left w:type="dxa" w:w="120"/>
                    <w:bottom w:type="dxa" w:w="100"/>
                    <w:right w:type="dxa" w:w="120"/>
                  </w:tcMar>
                  <w:vAlign w:val="center"/>
                </w:tcPr>
                <w:p>
                  <w:r>
                    <w:rPr>
                      <w:b w:val="false"/>
                      <w:bCs w:val="false"/>
                      <w:color w:val="1F2937"/>
                      <w:sz w:val="19"/>
                      <w:szCs w:val="19"/>
                    </w:rPr>
                    <w:t xml:space="preserve">Twee formaten betekent dat correlatie niet werkt; dit is de kern van B7</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2200"/>
                  <w:tcMar>
                    <w:top w:type="dxa" w:w="100"/>
                    <w:left w:type="dxa" w:w="120"/>
                    <w:bottom w:type="dxa" w:w="100"/>
                    <w:right w:type="dxa" w:w="120"/>
                  </w:tcMar>
                  <w:vAlign w:val="center"/>
                </w:tcPr>
                <w:p>
                  <w:r>
                    <w:rPr>
                      <w:b w:val="false"/>
                      <w:bCs w:val="false"/>
                      <w:color w:val="1F2937"/>
                      <w:sz w:val="19"/>
                      <w:szCs w:val="19"/>
                    </w:rPr>
                    <w:t xml:space="preserve">Concept, en het zwaarste</w:t>
                  </w:r>
                </w:p>
              </w:tc>
              <w:tc>
                <w:tcPr>
                  <w:tcW w:type="dxa" w:w="6438"/>
                  <w:tcMar>
                    <w:top w:type="dxa" w:w="100"/>
                    <w:left w:type="dxa" w:w="120"/>
                    <w:bottom w:type="dxa" w:w="100"/>
                    <w:right w:type="dxa" w:w="120"/>
                  </w:tcMar>
                  <w:vAlign w:val="center"/>
                </w:tcPr>
                <w:p>
                  <w:r>
                    <w:rPr>
                      <w:b w:val="false"/>
                      <w:bCs w:val="false"/>
                      <w:color w:val="1F2937"/>
                      <w:sz w:val="19"/>
                      <w:szCs w:val="19"/>
                    </w:rPr>
                    <w:t xml:space="preserve">Verschillende antwoorden leveren verschillende berekende rechten op — dat is een compliancekwestie, geen ongemak</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6</w:t>
                  </w:r>
                </w:p>
              </w:tc>
              <w:tc>
                <w:tcPr>
                  <w:tcW w:type="dxa" w:w="2200"/>
                  <w:tcMar>
                    <w:top w:type="dxa" w:w="100"/>
                    <w:left w:type="dxa" w:w="120"/>
                    <w:bottom w:type="dxa" w:w="100"/>
                    <w:right w:type="dxa" w:w="120"/>
                  </w:tcMar>
                  <w:vAlign w:val="center"/>
                </w:tcPr>
                <w:p>
                  <w:r>
                    <w:rPr>
                      <w:b w:val="false"/>
                      <w:bCs w:val="false"/>
                      <w:color w:val="1F2937"/>
                      <w:sz w:val="19"/>
                      <w:szCs w:val="19"/>
                    </w:rPr>
                    <w:t xml:space="preserve">Twijfelgeval</w:t>
                  </w:r>
                </w:p>
              </w:tc>
              <w:tc>
                <w:tcPr>
                  <w:tcW w:type="dxa" w:w="6438"/>
                  <w:tcMar>
                    <w:top w:type="dxa" w:w="100"/>
                    <w:left w:type="dxa" w:w="120"/>
                    <w:bottom w:type="dxa" w:w="100"/>
                    <w:right w:type="dxa" w:w="120"/>
                  </w:tcMar>
                  <w:vAlign w:val="center"/>
                </w:tcPr>
                <w:p>
                  <w:r>
                    <w:rPr>
                      <w:b w:val="false"/>
                      <w:bCs w:val="false"/>
                      <w:color w:val="1F2937"/>
                      <w:sz w:val="19"/>
                      <w:szCs w:val="19"/>
                    </w:rPr>
                    <w:t xml:space="preserve">Op zichzelf implementatiekeuze; wordt concept als verschillende bibliotheken verschillende afrondings- of schrikkeljaarregels hanteren. Het kantelende gegeven: rekenen we ergens met datums op een manier waarin bibliotheken verschillen?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7</w:t>
                  </w:r>
                </w:p>
              </w:tc>
              <w:tc>
                <w:tcPr>
                  <w:tcW w:type="dxa" w:w="2200"/>
                  <w:tcMar>
                    <w:top w:type="dxa" w:w="100"/>
                    <w:left w:type="dxa" w:w="120"/>
                    <w:bottom w:type="dxa" w:w="100"/>
                    <w:right w:type="dxa" w:w="120"/>
                  </w:tcMar>
                  <w:vAlign w:val="center"/>
                </w:tcPr>
                <w:p>
                  <w:r>
                    <w:rPr>
                      <w:b w:val="false"/>
                      <w:bCs w:val="false"/>
                      <w:color w:val="1F2937"/>
                      <w:sz w:val="19"/>
                      <w:szCs w:val="19"/>
                    </w:rPr>
                    <w:t xml:space="preserve">Concept</w:t>
                  </w:r>
                </w:p>
              </w:tc>
              <w:tc>
                <w:tcPr>
                  <w:tcW w:type="dxa" w:w="6438"/>
                  <w:tcMar>
                    <w:top w:type="dxa" w:w="100"/>
                    <w:left w:type="dxa" w:w="120"/>
                    <w:bottom w:type="dxa" w:w="100"/>
                    <w:right w:type="dxa" w:w="120"/>
                  </w:tcMar>
                  <w:vAlign w:val="center"/>
                </w:tcPr>
                <w:p>
                  <w:r>
                    <w:rPr>
                      <w:b w:val="false"/>
                      <w:bCs w:val="false"/>
                      <w:color w:val="1F2937"/>
                      <w:sz w:val="19"/>
                      <w:szCs w:val="19"/>
                    </w:rPr>
                    <w:t xml:space="preserve">Een drempel die per module verschilt, betekent dat beheer niet weet wat "te lang" is; ook een QS-2-kwestie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8</w:t>
                  </w:r>
                </w:p>
              </w:tc>
              <w:tc>
                <w:tcPr>
                  <w:tcW w:type="dxa" w:w="2200"/>
                  <w:tcMar>
                    <w:top w:type="dxa" w:w="100"/>
                    <w:left w:type="dxa" w:w="120"/>
                    <w:bottom w:type="dxa" w:w="100"/>
                    <w:right w:type="dxa" w:w="120"/>
                  </w:tcMar>
                  <w:vAlign w:val="center"/>
                </w:tcPr>
                <w:p>
                  <w:r>
                    <w:rPr>
                      <w:b w:val="false"/>
                      <w:bCs w:val="false"/>
                      <w:color w:val="1F2937"/>
                      <w:sz w:val="19"/>
                      <w:szCs w:val="19"/>
                    </w:rPr>
                    <w:t xml:space="preserve">Implementatiekeuze</w:t>
                  </w:r>
                </w:p>
              </w:tc>
              <w:tc>
                <w:tcPr>
                  <w:tcW w:type="dxa" w:w="6438"/>
                  <w:tcMar>
                    <w:top w:type="dxa" w:w="100"/>
                    <w:left w:type="dxa" w:w="120"/>
                    <w:bottom w:type="dxa" w:w="100"/>
                    <w:right w:type="dxa" w:w="120"/>
                  </w:tcMar>
                  <w:vAlign w:val="center"/>
                </w:tcPr>
                <w:p>
                  <w:r>
                    <w:rPr>
                      <w:b w:val="false"/>
                      <w:bCs w:val="false"/>
                      <w:color w:val="1F2937"/>
                      <w:sz w:val="19"/>
                      <w:szCs w:val="19"/>
                    </w:rPr>
                    <w:t xml:space="preserve">Wel een ontwerpafspraak, geen architectuurconcept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9</w:t>
                  </w:r>
                </w:p>
              </w:tc>
              <w:tc>
                <w:tcPr>
                  <w:tcW w:type="dxa" w:w="2200"/>
                  <w:tcMar>
                    <w:top w:type="dxa" w:w="100"/>
                    <w:left w:type="dxa" w:w="120"/>
                    <w:bottom w:type="dxa" w:w="100"/>
                    <w:right w:type="dxa" w:w="120"/>
                  </w:tcMar>
                  <w:vAlign w:val="center"/>
                </w:tcPr>
                <w:p>
                  <w:r>
                    <w:rPr>
                      <w:b w:val="false"/>
                      <w:bCs w:val="false"/>
                      <w:color w:val="1F2937"/>
                      <w:sz w:val="19"/>
                      <w:szCs w:val="19"/>
                    </w:rPr>
                    <w:t xml:space="preserve">Concept</w:t>
                  </w:r>
                </w:p>
              </w:tc>
              <w:tc>
                <w:tcPr>
                  <w:tcW w:type="dxa" w:w="6438"/>
                  <w:tcMar>
                    <w:top w:type="dxa" w:w="100"/>
                    <w:left w:type="dxa" w:w="120"/>
                    <w:bottom w:type="dxa" w:w="100"/>
                    <w:right w:type="dxa" w:w="120"/>
                  </w:tcMar>
                  <w:vAlign w:val="center"/>
                </w:tcPr>
                <w:p>
                  <w:r>
                    <w:rPr>
                      <w:b w:val="false"/>
                      <w:bCs w:val="false"/>
                      <w:color w:val="1F2937"/>
                      <w:sz w:val="19"/>
                      <w:szCs w:val="19"/>
                    </w:rPr>
                    <w:t xml:space="preserve">Dit was de kern van de adresvalidatiefout uit deel 3: dezelfde regel op drie plaatsen die uiteenlopen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10</w:t>
                  </w:r>
                </w:p>
              </w:tc>
              <w:tc>
                <w:tcPr>
                  <w:tcW w:type="dxa" w:w="2200"/>
                  <w:tcMar>
                    <w:top w:type="dxa" w:w="100"/>
                    <w:left w:type="dxa" w:w="120"/>
                    <w:bottom w:type="dxa" w:w="100"/>
                    <w:right w:type="dxa" w:w="120"/>
                  </w:tcMar>
                  <w:vAlign w:val="center"/>
                </w:tcPr>
                <w:p>
                  <w:r>
                    <w:rPr>
                      <w:b w:val="false"/>
                      <w:bCs w:val="false"/>
                      <w:color w:val="1F2937"/>
                      <w:sz w:val="19"/>
                      <w:szCs w:val="19"/>
                    </w:rPr>
                    <w:t xml:space="preserve">Twijfelgeval</w:t>
                  </w:r>
                </w:p>
              </w:tc>
              <w:tc>
                <w:tcPr>
                  <w:tcW w:type="dxa" w:w="6438"/>
                  <w:tcMar>
                    <w:top w:type="dxa" w:w="100"/>
                    <w:left w:type="dxa" w:w="120"/>
                    <w:bottom w:type="dxa" w:w="100"/>
                    <w:right w:type="dxa" w:w="120"/>
                  </w:tcMar>
                  <w:vAlign w:val="center"/>
                </w:tcPr>
                <w:p>
                  <w:r>
                    <w:rPr>
                      <w:b w:val="false"/>
                      <w:bCs w:val="false"/>
                      <w:color w:val="1F2937"/>
                      <w:sz w:val="19"/>
                      <w:szCs w:val="19"/>
                    </w:rPr>
                    <w:t xml:space="preserve">Wordt concept zodra testgegevens persoonsgegevens kunnen bevatten, of zodra peildatumgedrag realistisch getoetst moet worden — beide gelden hier</w:t>
                  </w:r>
                </w:p>
              </w:tc>
            </w:tr>
          </w:tbl>
          <w:p>
            <w:pPr>
              <w:spacing w:after="100"/>
            </w:pPr>
          </w:p>
          <w:p>
            <w:pPr>
              <w:spacing w:after="120" w:line="276"/>
            </w:pPr>
            <w:r>
              <w:rPr>
                <w:b/>
                <w:bCs/>
                <w:color w:val="1F2937"/>
                <w:sz w:val="21"/>
                <w:szCs w:val="21"/>
              </w:rPr>
              <w:t xml:space="preserve">Het patroon: </w:t>
            </w:r>
            <w:r>
              <w:rPr>
                <w:color w:val="1F2937"/>
                <w:sz w:val="21"/>
                <w:szCs w:val="21"/>
              </w:rPr>
              <w:t xml:space="preserve">iets is een concept als afwijking tussen modules schade veroorzaakt, en een implementatiekeuze als afwijking binnen een module blijft. De twijfelgevallen kantelen op de vraag of het effect de modulegrens overschrijdt.</w:t>
            </w:r>
          </w:p>
        </w:tc>
      </w:tr>
    </w:tbl>
    <w:p>
      <w:pPr>
        <w:spacing w:after="300"/>
      </w:pPr>
    </w:p>
    <w:p>
      <w:pPr>
        <w:pStyle w:val="Heading1"/>
        <w:pBdr>
          <w:bottom w:val="single" w:color="E5E7EB" w:sz="6" w:space="6"/>
        </w:pBdr>
        <w:spacing w:after="180" w:before="380"/>
      </w:pPr>
      <w:r>
        <w:rPr>
          <w:b/>
          <w:bCs/>
          <w:color w:val="1F3A5F"/>
          <w:sz w:val="30"/>
          <w:szCs w:val="30"/>
        </w:rPr>
        <w:t xml:space="preserve">Opdracht 8.2 — Het foutafhandelingsconcept (duo's, 30 minuten)</w:t>
      </w:r>
    </w:p>
    <w:p>
      <w:pPr>
        <w:spacing w:after="160" w:line="276"/>
      </w:pPr>
      <w:r>
        <w:rPr>
          <w:color w:val="1F2937"/>
          <w:sz w:val="22"/>
          <w:szCs w:val="22"/>
        </w:rPr>
        <w:t xml:space="preserve">Bijlage T toont de vier benaderingen die in Mutatie 1.0 naast elkaar bestonden.</w:t>
      </w:r>
    </w:p>
    <w:p>
      <w:pPr>
        <w:pStyle w:val="ListParagraph"/>
        <w:numPr>
          <w:ilvl w:val="0"/>
          <w:numId w:val="2"/>
        </w:numPr>
        <w:spacing w:after="100"/>
      </w:pPr>
      <w:r>
        <w:rPr>
          <w:b/>
          <w:bCs/>
          <w:color w:val="1F2937"/>
          <w:sz w:val="22"/>
          <w:szCs w:val="22"/>
        </w:rPr>
        <w:t xml:space="preserve">a)</w:t>
      </w:r>
      <w:r>
        <w:rPr>
          <w:color w:val="1F2937"/>
          <w:sz w:val="22"/>
          <w:szCs w:val="22"/>
        </w:rPr>
        <w:t xml:space="preserve"> Beschrijf per benadering wat er redelijk aan is. Elke benadering is door een competent team gekozen; zoek de redenering.</w:t>
      </w:r>
    </w:p>
    <w:p>
      <w:pPr>
        <w:pStyle w:val="ListParagraph"/>
        <w:numPr>
          <w:ilvl w:val="0"/>
          <w:numId w:val="2"/>
        </w:numPr>
        <w:spacing w:after="100"/>
      </w:pPr>
      <w:r>
        <w:rPr>
          <w:b/>
          <w:bCs/>
          <w:color w:val="1F2937"/>
          <w:sz w:val="22"/>
          <w:szCs w:val="22"/>
        </w:rPr>
        <w:t xml:space="preserve">b)</w:t>
      </w:r>
      <w:r>
        <w:rPr>
          <w:color w:val="1F2937"/>
          <w:sz w:val="22"/>
          <w:szCs w:val="22"/>
        </w:rPr>
        <w:t xml:space="preserve"> Stel nu één concept op voor Mutatie 2.0, in maximaal één A4, met: de indeling naar foutsoort; per soort: wie ziet wat, is het herstelbaar, wat gebeurt er met het werk, wie wordt gewaarschuwd; wat er gebeurt als een module ervan afwijkt.</w:t>
      </w:r>
    </w:p>
    <w:p>
      <w:pPr>
        <w:pStyle w:val="ListParagraph"/>
        <w:numPr>
          <w:ilvl w:val="0"/>
          <w:numId w:val="2"/>
        </w:numPr>
        <w:spacing w:after="100"/>
      </w:pPr>
      <w:r>
        <w:rPr>
          <w:b/>
          <w:bCs/>
          <w:color w:val="1F2937"/>
          <w:sz w:val="22"/>
          <w:szCs w:val="22"/>
        </w:rPr>
        <w:t xml:space="preserve">c)</w:t>
      </w:r>
      <w:r>
        <w:rPr>
          <w:color w:val="1F2937"/>
          <w:sz w:val="22"/>
          <w:szCs w:val="22"/>
        </w:rPr>
        <w:t xml:space="preserve"> Toets uw concept tegen drie concrete situaties: (1) een deelnemer voert een postcode in die niet bestaat; (2) de kernadministratie is onbereikbaar terwijl een behandelaar een scheidingsmutatie indient; (3) een programmeerfout zorgt ervoor dat de berekening van de ingangsdatum een onmogelijke waarde oplevert.</w:t>
      </w:r>
    </w:p>
    <w:p>
      <w:pPr>
        <w:spacing w:after="160" w:line="276"/>
      </w:pPr>
      <w:r>
        <w:rPr>
          <w:color w:val="1F2937"/>
          <w:sz w:val="22"/>
          <w:szCs w:val="22"/>
        </w:rPr>
        <w:t xml:space="preserve">Voor elk: wat ziet de deelnemer, wat ziet de behandelaar, wat ziet beheer, en wat gebeurt er met de mutatie?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8.2</w:t>
            </w:r>
          </w:p>
          <w:p>
            <w:pPr>
              <w:spacing w:after="80"/>
            </w:pPr>
          </w:p>
          <w:p>
            <w:pPr>
              <w:spacing w:after="120" w:line="276"/>
            </w:pPr>
            <w:r>
              <w:rPr>
                <w:b/>
                <w:bCs/>
                <w:color w:val="1F2937"/>
                <w:sz w:val="21"/>
                <w:szCs w:val="21"/>
              </w:rPr>
              <w:t xml:space="preserve">a) De redelijkheid van de vier benaderingen.</w:t>
            </w:r>
            <w:r>
              <w:rPr>
                <w:color w:val="1F2937"/>
                <w:sz w:val="21"/>
                <w:szCs w:val="21"/>
              </w:rPr>
              <w:t xml:space="preserve"> Dit onderdeel is belangrijker dan het lijkt, want deelnemers neigen ertoe de teams van Mutatie 1.0 als onzorgvuldig te zien.</w:t>
            </w:r>
          </w:p>
          <w:p>
            <w:pPr>
              <w:pStyle w:val="ListParagraph"/>
              <w:numPr>
                <w:ilvl w:val="0"/>
                <w:numId w:val="2"/>
              </w:numPr>
              <w:spacing w:after="100"/>
            </w:pPr>
            <w:r>
              <w:rPr>
                <w:color w:val="1F2937"/>
                <w:sz w:val="21"/>
                <w:szCs w:val="21"/>
              </w:rPr>
              <w:t xml:space="preserve">Team 1 koos "alles loggen en doorgeven aan de aanroeper" — redelijk vanuit transparantie: niets verdwijnt stilletjes.</w:t>
            </w:r>
          </w:p>
          <w:p>
            <w:pPr>
              <w:pStyle w:val="ListParagraph"/>
              <w:numPr>
                <w:ilvl w:val="0"/>
                <w:numId w:val="2"/>
              </w:numPr>
              <w:spacing w:after="100"/>
            </w:pPr>
            <w:r>
              <w:rPr>
                <w:color w:val="1F2937"/>
                <w:sz w:val="21"/>
                <w:szCs w:val="21"/>
              </w:rPr>
              <w:t xml:space="preserve">Team 2 koos "fouten opvangen en een lege uitkomst teruggeven" — redelijk vanuit robuustheid: het scherm valt nooit om.</w:t>
            </w:r>
          </w:p>
          <w:p>
            <w:pPr>
              <w:pStyle w:val="ListParagraph"/>
              <w:numPr>
                <w:ilvl w:val="0"/>
                <w:numId w:val="2"/>
              </w:numPr>
              <w:spacing w:after="100"/>
            </w:pPr>
            <w:r>
              <w:rPr>
                <w:color w:val="1F2937"/>
                <w:sz w:val="21"/>
                <w:szCs w:val="21"/>
              </w:rPr>
              <w:t xml:space="preserve">Team 3 koos "alles als technische fout behandelen en herpogen" — redelijk vanuit beschikbaarheid: tijdelijke storingen lossen zichzelf op.</w:t>
            </w:r>
          </w:p>
          <w:p>
            <w:pPr>
              <w:pStyle w:val="ListParagraph"/>
              <w:numPr>
                <w:ilvl w:val="0"/>
                <w:numId w:val="2"/>
              </w:numPr>
              <w:spacing w:after="100"/>
            </w:pPr>
            <w:r>
              <w:rPr>
                <w:color w:val="1F2937"/>
                <w:sz w:val="21"/>
                <w:szCs w:val="21"/>
              </w:rPr>
              <w:t xml:space="preserve">Team 4 koos "invoerfouten scheiden van de rest" — redelijk, en achteraf het dichtst bij het juiste antwoord.</w:t>
            </w:r>
          </w:p>
          <w:p>
            <w:pPr>
              <w:spacing w:after="120" w:line="276"/>
            </w:pPr>
            <w:r>
              <w:rPr>
                <w:color w:val="1F2937"/>
                <w:sz w:val="21"/>
                <w:szCs w:val="21"/>
              </w:rPr>
              <w:t xml:space="preserve">De schade zat in de combinatie. Team 2's stille opvang maakte team 1's transparantie waardeloos (fouten verdwenen alsnog), en team 3's herpogingen op blijvende fouten leverden storingen op die zichzelf versterkten. Elk team had gelijk binnen zijn eigen grens.</w:t>
            </w:r>
          </w:p>
          <w:p>
            <w:pPr>
              <w:spacing w:after="80"/>
            </w:pPr>
          </w:p>
          <w:p>
            <w:pPr>
              <w:spacing w:after="120" w:line="276"/>
            </w:pPr>
            <w:r>
              <w:rPr>
                <w:b/>
                <w:bCs/>
                <w:color w:val="1F2937"/>
                <w:sz w:val="21"/>
                <w:szCs w:val="21"/>
              </w:rPr>
              <w:t xml:space="preserve">c) Toets tegen de drie situaties:</w:t>
            </w:r>
            <w:r>
              <w:rPr>
                <w:color w:val="1F2937"/>
                <w:sz w:val="21"/>
                <w:szCs w:val="21"/>
              </w:rPr>
              <w:t xml:space="preserve"/>
            </w:r>
          </w:p>
          <w:p>
            <w:pPr>
              <w:spacing w:after="120" w:line="276"/>
            </w:pPr>
            <w:r>
              <w:rPr>
                <w:b/>
                <w:bCs/>
                <w:color w:val="1F2937"/>
                <w:sz w:val="21"/>
                <w:szCs w:val="21"/>
              </w:rPr>
              <w:t xml:space="preserve">1. Onbestaande postcode. </w:t>
            </w:r>
            <w:r>
              <w:rPr>
                <w:color w:val="1F2937"/>
                <w:sz w:val="21"/>
                <w:szCs w:val="21"/>
              </w:rPr>
              <w:t xml:space="preserve">Deelnemer: begrijpelijke melding met suggestie ("controleer de postcode"). Behandelaar: niets, hij is niet betrokken. Beheer: niets — dit is geen storing en hoort niet in het foutlogboek. Mutatie: niet aangemaakt; de deelnemer blijft in het invoerscherm.</w:t>
            </w:r>
          </w:p>
          <w:p>
            <w:pPr>
              <w:spacing w:after="120" w:line="276"/>
            </w:pPr>
            <w:r>
              <w:rPr>
                <w:b/>
                <w:bCs/>
                <w:color w:val="1F2937"/>
                <w:sz w:val="21"/>
                <w:szCs w:val="21"/>
              </w:rPr>
              <w:t xml:space="preserve">2. Kernadministratie onbereikbaar bij een scheidingsmutatie. </w:t>
            </w:r>
            <w:r>
              <w:rPr>
                <w:color w:val="1F2937"/>
                <w:sz w:val="21"/>
                <w:szCs w:val="21"/>
              </w:rPr>
              <w:t xml:space="preserve">Deelnemer: niet van toepassing. Behandelaar: de mutatie is aanvaard en vastgelegd, met zichtbare status "verwerking bij kernadministratie uitgesteld" — geen foutmelding, want er is niets fout aan zijn handeling. Beheer: zichtbaar in het beeld van uitgestelde doorgiftes; waarschuwing zodra de drempel wordt overschreden. Mutatie: vastgehouden, automatisch hervat na herstel.</w:t>
            </w:r>
          </w:p>
          <w:p>
            <w:pPr>
              <w:spacing w:after="120" w:line="276"/>
            </w:pPr>
            <w:r>
              <w:rPr>
                <w:b/>
                <w:bCs/>
                <w:color w:val="1F2937"/>
                <w:sz w:val="21"/>
                <w:szCs w:val="21"/>
              </w:rPr>
              <w:t xml:space="preserve">3. Programmeerfout die een onmogelijke ingangsdatum oplevert. </w:t>
            </w:r>
            <w:r>
              <w:rPr>
                <w:color w:val="1F2937"/>
                <w:sz w:val="21"/>
                <w:szCs w:val="21"/>
              </w:rPr>
              <w:t xml:space="preserve">Deelnemer of behandelaar: een neutrale melding dat de mutatie niet kon worden verwerkt en dat het is gemeld — geen technische details, geen suggestie dat hij iets fout deed. Beheer: luide melding, direct, met correlatie-identificatie en de volledige context. Mutatie: niet stilletjes doorlaten met een gecorrigeerde waarde. Snel falen; de mutatie gaat naar een uitvalbak die een mens beoordeelt.</w:t>
            </w:r>
          </w:p>
          <w:p>
            <w:pPr>
              <w:spacing w:after="120" w:line="276"/>
            </w:pPr>
            <w:r>
              <w:rPr>
                <w:color w:val="1F2937"/>
                <w:sz w:val="21"/>
                <w:szCs w:val="21"/>
              </w:rPr>
              <w:t xml:space="preserve">De derde situatie is de belangrijkste toets. De verleiding is groot om een onmogelijke waarde te "repareren" (bijvoorbeeld naar de eerste van de maand). Dat is de gevaarlijkste vorm van foutafhandeling in een administratief systeem: het levert een fout recht op dat niemand ooit opmerkt.</w:t>
            </w:r>
          </w:p>
        </w:tc>
      </w:tr>
    </w:tbl>
    <w:p>
      <w:pPr>
        <w:spacing w:after="300"/>
      </w:pPr>
    </w:p>
    <w:p>
      <w:pPr>
        <w:pStyle w:val="Heading1"/>
        <w:pBdr>
          <w:bottom w:val="single" w:color="E5E7EB" w:sz="6" w:space="6"/>
        </w:pBdr>
        <w:spacing w:after="180" w:before="380"/>
      </w:pPr>
      <w:r>
        <w:rPr>
          <w:b/>
          <w:bCs/>
          <w:color w:val="1F3A5F"/>
          <w:sz w:val="30"/>
          <w:szCs w:val="30"/>
        </w:rPr>
        <w:t xml:space="preserve">Opdracht 8.3 — Een storing volgen (groepen van vier, 35 minuten)</w:t>
      </w:r>
    </w:p>
    <w:p>
      <w:pPr>
        <w:spacing w:after="160" w:line="276"/>
      </w:pPr>
      <w:r>
        <w:rPr>
          <w:color w:val="1F2937"/>
          <w:sz w:val="22"/>
          <w:szCs w:val="22"/>
        </w:rPr>
        <w:t xml:space="preserve">Bijlage U bevat drie storingsverslagen uit Mutatie 1.0, met de reconstructie die beheer moest maken.</w:t>
      </w:r>
    </w:p>
    <w:p>
      <w:pPr>
        <w:pStyle w:val="ListParagraph"/>
        <w:numPr>
          <w:ilvl w:val="0"/>
          <w:numId w:val="2"/>
        </w:numPr>
        <w:spacing w:after="100"/>
      </w:pPr>
      <w:r>
        <w:rPr>
          <w:b/>
          <w:bCs/>
          <w:color w:val="1F2937"/>
          <w:sz w:val="22"/>
          <w:szCs w:val="22"/>
        </w:rPr>
        <w:t xml:space="preserve">a)</w:t>
      </w:r>
      <w:r>
        <w:rPr>
          <w:color w:val="1F2937"/>
          <w:sz w:val="22"/>
          <w:szCs w:val="22"/>
        </w:rPr>
        <w:t xml:space="preserve"> Neem storing 2 (de langst lopende). Reconstrueer wat er is gebeurd op basis van het verslag. Hoeveel stappen kostte het beheer om de oorzaak te vinden, en waar liep de reconstructie vast?</w:t>
      </w:r>
    </w:p>
    <w:p>
      <w:pPr>
        <w:pStyle w:val="ListParagraph"/>
        <w:numPr>
          <w:ilvl w:val="0"/>
          <w:numId w:val="2"/>
        </w:numPr>
        <w:spacing w:after="100"/>
      </w:pPr>
      <w:r>
        <w:rPr>
          <w:b/>
          <w:bCs/>
          <w:color w:val="1F2937"/>
          <w:sz w:val="22"/>
          <w:szCs w:val="22"/>
        </w:rPr>
        <w:t xml:space="preserve">b)</w:t>
      </w:r>
      <w:r>
        <w:rPr>
          <w:color w:val="1F2937"/>
          <w:sz w:val="22"/>
          <w:szCs w:val="22"/>
        </w:rPr>
        <w:t xml:space="preserve"> Ontwerp het logging- en traceringsconcept dat deze reconstructie tot een handeling had teruggebracht. Beschrijf: wat wordt gelogd, waar, met welke identificatie, en hoe een beheerder de keten opvraagt.</w:t>
      </w:r>
    </w:p>
    <w:p>
      <w:pPr>
        <w:pStyle w:val="ListParagraph"/>
        <w:numPr>
          <w:ilvl w:val="0"/>
          <w:numId w:val="2"/>
        </w:numPr>
        <w:spacing w:after="100"/>
      </w:pPr>
      <w:r>
        <w:rPr>
          <w:b/>
          <w:bCs/>
          <w:color w:val="1F2937"/>
          <w:sz w:val="22"/>
          <w:szCs w:val="22"/>
        </w:rPr>
        <w:t xml:space="preserve">c)</w:t>
      </w:r>
      <w:r>
        <w:rPr>
          <w:color w:val="1F2937"/>
          <w:sz w:val="22"/>
          <w:szCs w:val="22"/>
        </w:rPr>
        <w:t xml:space="preserve"> De asynchrone valkuil. Uw systeem is een modulith met één logbestand. Toon aan de hand van een adresmutatie die om 10:03 wordt bevestigd en om 10:47 wordt doorgegeven, waarom u toch correlatie nodig hebt.</w:t>
      </w:r>
    </w:p>
    <w:p>
      <w:pPr>
        <w:pStyle w:val="ListParagraph"/>
        <w:numPr>
          <w:ilvl w:val="0"/>
          <w:numId w:val="2"/>
        </w:numPr>
        <w:spacing w:after="100"/>
      </w:pPr>
      <w:r>
        <w:rPr>
          <w:b/>
          <w:bCs/>
          <w:color w:val="1F2937"/>
          <w:sz w:val="22"/>
          <w:szCs w:val="22"/>
        </w:rPr>
        <w:t xml:space="preserve">d)</w:t>
      </w:r>
      <w:r>
        <w:rPr>
          <w:color w:val="1F2937"/>
          <w:sz w:val="22"/>
          <w:szCs w:val="22"/>
        </w:rPr>
        <w:t xml:space="preserve"> Bepaal wat u niet logt, en waarom. Noem minstens drie zaken.</w:t>
      </w:r>
    </w:p>
    <w:p>
      <w:pPr>
        <w:pStyle w:val="ListParagraph"/>
        <w:numPr>
          <w:ilvl w:val="0"/>
          <w:numId w:val="2"/>
        </w:numPr>
        <w:spacing w:after="100"/>
      </w:pPr>
      <w:r>
        <w:rPr>
          <w:b/>
          <w:bCs/>
          <w:color w:val="1F2937"/>
          <w:sz w:val="22"/>
          <w:szCs w:val="22"/>
        </w:rPr>
        <w:t xml:space="preserve">e)</w:t>
      </w:r>
      <w:r>
        <w:rPr>
          <w:color w:val="1F2937"/>
          <w:sz w:val="22"/>
          <w:szCs w:val="22"/>
        </w:rPr>
        <w:t xml:space="preserve"> Verdeel de vastlegging over de drie soorten uit paragraaf 8.4 (technische logging, gebeurtenissen, audittrail). Bepaal per soort: bewaartermijn, wie mag lezen, en of hij wijzigbaar is.</w:t>
      </w:r>
    </w:p>
    <w:p>
      <w:pPr>
        <w:spacing w:after="160" w:line="276"/>
      </w:pPr>
      <w:r>
        <w:rPr>
          <w:color w:val="1F2937"/>
          <w:sz w:val="22"/>
          <w:szCs w:val="22"/>
        </w:rPr>
        <w:t xml:space="preserve">Presenteer b) en e) plenair.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8.3</w:t>
            </w:r>
          </w:p>
          <w:p>
            <w:pPr>
              <w:spacing w:after="80"/>
            </w:pPr>
          </w:p>
          <w:p>
            <w:pPr>
              <w:spacing w:after="120" w:line="276"/>
            </w:pPr>
            <w:r>
              <w:rPr>
                <w:b/>
                <w:bCs/>
                <w:color w:val="1F2937"/>
                <w:sz w:val="21"/>
                <w:szCs w:val="21"/>
              </w:rPr>
              <w:t xml:space="preserve">a) </w:t>
            </w:r>
            <w:r>
              <w:rPr>
                <w:color w:val="1F2937"/>
                <w:sz w:val="21"/>
                <w:szCs w:val="21"/>
              </w:rPr>
              <w:t xml:space="preserve">In storing 2 kostte de reconstructie beheer negen stappen over vijf logbestanden, en zij liep vast op het punt waar een gebeurtenis van service 4 naar service 7 ging: aan de ontvangende kant was niet vast te stellen welke oorspronkelijke opdracht de gebeurtenis had veroorzaakt. Vanaf dat punt was de keten alleen nog te raden op basis van tijdstippen — en omdat er meerdere mutaties in dezelfde seconde liepen, was dat raden onbetrouwbaar.</w:t>
            </w:r>
          </w:p>
          <w:p>
            <w:pPr>
              <w:spacing w:after="120" w:line="276"/>
            </w:pPr>
            <w:r>
              <w:rPr>
                <w:b/>
                <w:bCs/>
                <w:color w:val="1F2937"/>
                <w:sz w:val="21"/>
                <w:szCs w:val="21"/>
              </w:rPr>
              <w:t xml:space="preserve">b) </w:t>
            </w:r>
            <w:r>
              <w:rPr>
                <w:color w:val="1F2937"/>
                <w:sz w:val="21"/>
                <w:szCs w:val="21"/>
              </w:rPr>
              <w:t xml:space="preserve">Het concept: een correlatie-identificatie wordt toegekend bij binnenkomst van elke opdracht (portaal, scherm, batchregel) en meegegeven aan elke aanroep, elke gebeurtenis, elke logregel en elke doorgifte naar buiten. Elke logregel bevat: tijdstip, correlatie, module, handeling, uitkomst, en de betrokken deelnemer als verwijzing (niet als volledige persoonsgegevens). Beheer vraagt de keten op door te filteren op één correlatiewaarde.</w:t>
            </w:r>
          </w:p>
          <w:p>
            <w:pPr>
              <w:spacing w:after="120" w:line="276"/>
            </w:pPr>
            <w:r>
              <w:rPr>
                <w:b/>
                <w:bCs/>
                <w:color w:val="1F2937"/>
                <w:sz w:val="21"/>
                <w:szCs w:val="21"/>
              </w:rPr>
              <w:t xml:space="preserve">c) De asynchrone valkuil. </w:t>
            </w:r>
            <w:r>
              <w:rPr>
                <w:color w:val="1F2937"/>
                <w:sz w:val="21"/>
                <w:szCs w:val="21"/>
              </w:rPr>
              <w:t xml:space="preserve">Eén logbestand betekent dat alle regels op één plek staan — het betekent niet dat zij bij elkaar horen. Tussen 10:03 en 10:47 staan duizenden andere regels van tientallen andere mutaties. Zonder correlatie is er geen manier om de bevestigingsregel en de doorgifteregel als één gebeurtenis te herkennen, tenzij u op deelnemersnummer filtert — en dat werkt niet als er twee mutaties op dezelfde deelnemer lopen.</w:t>
            </w:r>
          </w:p>
          <w:p>
            <w:pPr>
              <w:spacing w:after="120" w:line="276"/>
            </w:pPr>
            <w:r>
              <w:rPr>
                <w:color w:val="1F2937"/>
                <w:sz w:val="21"/>
                <w:szCs w:val="21"/>
              </w:rPr>
              <w:t xml:space="preserve">Het punt: een modulith maakt correlatie minder urgent voor synchrone paden en even urgent voor asynchrone. En asynchroon zijn we, want dat was de kern van ADR-014.</w:t>
            </w:r>
          </w:p>
          <w:p>
            <w:pPr>
              <w:spacing w:after="120" w:line="276"/>
            </w:pPr>
            <w:r>
              <w:rPr>
                <w:b/>
                <w:bCs/>
                <w:color w:val="1F2937"/>
                <w:sz w:val="21"/>
                <w:szCs w:val="21"/>
              </w:rPr>
              <w:t xml:space="preserve">d) Wat u niet logt: </w:t>
            </w:r>
            <w:r>
              <w:rPr>
                <w:color w:val="1F2937"/>
                <w:sz w:val="21"/>
                <w:szCs w:val="21"/>
              </w:rPr>
              <w:t xml:space="preserve">wachtwoorden en tokens; volledige berichtinhoud waarin persoonsgegevens kunnen zitten; burgerservicenummers en rekeningnummers in leesbare vorm; volledige adressen in technische logging (een verwijzing volstaat); en de inhoud van gezondheids- of relatiegegevens die bij scheidings- en overlijdensmutaties voorbijkomen.</w:t>
            </w:r>
          </w:p>
          <w:p>
            <w:pPr>
              <w:spacing w:after="120" w:line="276"/>
            </w:pPr>
            <w:r>
              <w:rPr>
                <w:color w:val="1F2937"/>
                <w:sz w:val="21"/>
                <w:szCs w:val="21"/>
              </w:rPr>
              <w:t xml:space="preserve">Dat laatste is voor deze casus specifiek relevant: een scheidingsmutatie bevat gevoelige gegevens over de relatie tussen personen, en die horen niet in een technisch logbestand met een ruime lezerskring.</w:t>
            </w:r>
          </w:p>
          <w:p>
            <w:pPr>
              <w:spacing w:after="80"/>
            </w:pPr>
          </w:p>
          <w:p>
            <w:pPr>
              <w:spacing w:after="120" w:line="276"/>
            </w:pPr>
            <w:r>
              <w:rPr>
                <w:b/>
                <w:bCs/>
                <w:color w:val="1F2937"/>
                <w:sz w:val="21"/>
                <w:szCs w:val="21"/>
              </w:rPr>
              <w:t xml:space="preserve">e) De drie soorten:</w:t>
            </w:r>
            <w:r>
              <w:rPr>
                <w:color w:val="1F2937"/>
                <w:sz w:val="21"/>
                <w:szCs w:val="21"/>
              </w:rPr>
              <w:t xml:space="preserve"/>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600"/>
              <w:gridCol w:w="2200"/>
              <w:gridCol w:w="2600"/>
              <w:gridCol w:w="1738"/>
            </w:tblGrid>
            <w:tr>
              <w:trPr>
                <w:tblHeader/>
              </w:trPr>
              <w:tc>
                <w:tcPr>
                  <w:tcW w:type="dxa" w:w="2600"/>
                  <w:shd w:fill="1F3A5F" w:val="clear"/>
                  <w:tcMar>
                    <w:top w:type="dxa" w:w="100"/>
                    <w:left w:type="dxa" w:w="120"/>
                    <w:bottom w:type="dxa" w:w="100"/>
                    <w:right w:type="dxa" w:w="120"/>
                  </w:tcMar>
                  <w:vAlign w:val="center"/>
                </w:tcPr>
                <w:p>
                  <w:r>
                    <w:rPr>
                      <w:b/>
                      <w:bCs/>
                      <w:color w:val="FFFFFF"/>
                      <w:sz w:val="19"/>
                      <w:szCs w:val="19"/>
                    </w:rPr>
                    <w:t xml:space="preserve">Soort</w:t>
                  </w:r>
                </w:p>
              </w:tc>
              <w:tc>
                <w:tcPr>
                  <w:tcW w:type="dxa" w:w="2200"/>
                  <w:shd w:fill="1F3A5F" w:val="clear"/>
                  <w:tcMar>
                    <w:top w:type="dxa" w:w="100"/>
                    <w:left w:type="dxa" w:w="120"/>
                    <w:bottom w:type="dxa" w:w="100"/>
                    <w:right w:type="dxa" w:w="120"/>
                  </w:tcMar>
                  <w:vAlign w:val="center"/>
                </w:tcPr>
                <w:p>
                  <w:r>
                    <w:rPr>
                      <w:b/>
                      <w:bCs/>
                      <w:color w:val="FFFFFF"/>
                      <w:sz w:val="19"/>
                      <w:szCs w:val="19"/>
                    </w:rPr>
                    <w:t xml:space="preserve">Bewaartermijn</w:t>
                  </w:r>
                </w:p>
              </w:tc>
              <w:tc>
                <w:tcPr>
                  <w:tcW w:type="dxa" w:w="2600"/>
                  <w:shd w:fill="1F3A5F" w:val="clear"/>
                  <w:tcMar>
                    <w:top w:type="dxa" w:w="100"/>
                    <w:left w:type="dxa" w:w="120"/>
                    <w:bottom w:type="dxa" w:w="100"/>
                    <w:right w:type="dxa" w:w="120"/>
                  </w:tcMar>
                  <w:vAlign w:val="center"/>
                </w:tcPr>
                <w:p>
                  <w:r>
                    <w:rPr>
                      <w:b/>
                      <w:bCs/>
                      <w:color w:val="FFFFFF"/>
                      <w:sz w:val="19"/>
                      <w:szCs w:val="19"/>
                    </w:rPr>
                    <w:t xml:space="preserve">Wie leest</w:t>
                  </w:r>
                </w:p>
              </w:tc>
              <w:tc>
                <w:tcPr>
                  <w:tcW w:type="dxa" w:w="1738"/>
                  <w:shd w:fill="1F3A5F" w:val="clear"/>
                  <w:tcMar>
                    <w:top w:type="dxa" w:w="100"/>
                    <w:left w:type="dxa" w:w="120"/>
                    <w:bottom w:type="dxa" w:w="100"/>
                    <w:right w:type="dxa" w:w="120"/>
                  </w:tcMar>
                  <w:vAlign w:val="center"/>
                </w:tcPr>
                <w:p>
                  <w:r>
                    <w:rPr>
                      <w:b/>
                      <w:bCs/>
                      <w:color w:val="FFFFFF"/>
                      <w:sz w:val="19"/>
                      <w:szCs w:val="19"/>
                    </w:rPr>
                    <w:t xml:space="preserve">Wijzigbaar</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Technische logging</w:t>
                  </w:r>
                </w:p>
              </w:tc>
              <w:tc>
                <w:tcPr>
                  <w:tcW w:type="dxa" w:w="2200"/>
                  <w:tcMar>
                    <w:top w:type="dxa" w:w="100"/>
                    <w:left w:type="dxa" w:w="120"/>
                    <w:bottom w:type="dxa" w:w="100"/>
                    <w:right w:type="dxa" w:w="120"/>
                  </w:tcMar>
                  <w:vAlign w:val="center"/>
                </w:tcPr>
                <w:p>
                  <w:r>
                    <w:rPr>
                      <w:b w:val="false"/>
                      <w:bCs w:val="false"/>
                      <w:color w:val="1F2937"/>
                      <w:sz w:val="19"/>
                      <w:szCs w:val="19"/>
                    </w:rPr>
                    <w:t xml:space="preserve">dagen tot weken</w:t>
                  </w:r>
                </w:p>
              </w:tc>
              <w:tc>
                <w:tcPr>
                  <w:tcW w:type="dxa" w:w="2600"/>
                  <w:tcMar>
                    <w:top w:type="dxa" w:w="100"/>
                    <w:left w:type="dxa" w:w="120"/>
                    <w:bottom w:type="dxa" w:w="100"/>
                    <w:right w:type="dxa" w:w="120"/>
                  </w:tcMar>
                  <w:vAlign w:val="center"/>
                </w:tcPr>
                <w:p>
                  <w:r>
                    <w:rPr>
                      <w:b w:val="false"/>
                      <w:bCs w:val="false"/>
                      <w:color w:val="1F2937"/>
                      <w:sz w:val="19"/>
                      <w:szCs w:val="19"/>
                    </w:rPr>
                    <w:t xml:space="preserve">beheer, ontwikkelaars</w:t>
                  </w:r>
                </w:p>
              </w:tc>
              <w:tc>
                <w:tcPr>
                  <w:tcW w:type="dxa" w:w="1738"/>
                  <w:tcMar>
                    <w:top w:type="dxa" w:w="100"/>
                    <w:left w:type="dxa" w:w="120"/>
                    <w:bottom w:type="dxa" w:w="100"/>
                    <w:right w:type="dxa" w:w="120"/>
                  </w:tcMar>
                  <w:vAlign w:val="center"/>
                </w:tcPr>
                <w:p>
                  <w:r>
                    <w:rPr>
                      <w:b w:val="false"/>
                      <w:bCs w:val="false"/>
                      <w:color w:val="1F2937"/>
                      <w:sz w:val="19"/>
                      <w:szCs w:val="19"/>
                    </w:rPr>
                    <w:t xml:space="preserve">mag opgeschoond worden</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Gebeurtenissen (mutatiegeschiedenis)</w:t>
                  </w:r>
                </w:p>
              </w:tc>
              <w:tc>
                <w:tcPr>
                  <w:tcW w:type="dxa" w:w="2200"/>
                  <w:tcMar>
                    <w:top w:type="dxa" w:w="100"/>
                    <w:left w:type="dxa" w:w="120"/>
                    <w:bottom w:type="dxa" w:w="100"/>
                    <w:right w:type="dxa" w:w="120"/>
                  </w:tcMar>
                  <w:vAlign w:val="center"/>
                </w:tcPr>
                <w:p>
                  <w:r>
                    <w:rPr>
                      <w:b w:val="false"/>
                      <w:bCs w:val="false"/>
                      <w:color w:val="1F2937"/>
                      <w:sz w:val="19"/>
                      <w:szCs w:val="19"/>
                    </w:rPr>
                    <w:t xml:space="preserve">zeven jaar (QS-4)</w:t>
                  </w:r>
                </w:p>
              </w:tc>
              <w:tc>
                <w:tcPr>
                  <w:tcW w:type="dxa" w:w="2600"/>
                  <w:tcMar>
                    <w:top w:type="dxa" w:w="100"/>
                    <w:left w:type="dxa" w:w="120"/>
                    <w:bottom w:type="dxa" w:w="100"/>
                    <w:right w:type="dxa" w:w="120"/>
                  </w:tcMar>
                  <w:vAlign w:val="center"/>
                </w:tcPr>
                <w:p>
                  <w:r>
                    <w:rPr>
                      <w:b w:val="false"/>
                      <w:bCs w:val="false"/>
                      <w:color w:val="1F2937"/>
                      <w:sz w:val="19"/>
                      <w:szCs w:val="19"/>
                    </w:rPr>
                    <w:t xml:space="preserve">applicatie, behandelaar via het systeem</w:t>
                  </w:r>
                </w:p>
              </w:tc>
              <w:tc>
                <w:tcPr>
                  <w:tcW w:type="dxa" w:w="1738"/>
                  <w:tcMar>
                    <w:top w:type="dxa" w:w="100"/>
                    <w:left w:type="dxa" w:w="120"/>
                    <w:bottom w:type="dxa" w:w="100"/>
                    <w:right w:type="dxa" w:w="120"/>
                  </w:tcMar>
                  <w:vAlign w:val="center"/>
                </w:tcPr>
                <w:p>
                  <w:r>
                    <w:rPr>
                      <w:b w:val="false"/>
                      <w:bCs w:val="false"/>
                      <w:color w:val="1F2937"/>
                      <w:sz w:val="19"/>
                      <w:szCs w:val="19"/>
                    </w:rPr>
                    <w:t xml:space="preserve">onveranderlijk</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Audittrail voor toezicht</w:t>
                  </w:r>
                </w:p>
              </w:tc>
              <w:tc>
                <w:tcPr>
                  <w:tcW w:type="dxa" w:w="2200"/>
                  <w:tcMar>
                    <w:top w:type="dxa" w:w="100"/>
                    <w:left w:type="dxa" w:w="120"/>
                    <w:bottom w:type="dxa" w:w="100"/>
                    <w:right w:type="dxa" w:w="120"/>
                  </w:tcMar>
                  <w:vAlign w:val="center"/>
                </w:tcPr>
                <w:p>
                  <w:r>
                    <w:rPr>
                      <w:b w:val="false"/>
                      <w:bCs w:val="false"/>
                      <w:color w:val="1F2937"/>
                      <w:sz w:val="19"/>
                      <w:szCs w:val="19"/>
                    </w:rPr>
                    <w:t xml:space="preserve">conform bewaarplicht, gescheiden regime</w:t>
                  </w:r>
                </w:p>
              </w:tc>
              <w:tc>
                <w:tcPr>
                  <w:tcW w:type="dxa" w:w="2600"/>
                  <w:tcMar>
                    <w:top w:type="dxa" w:w="100"/>
                    <w:left w:type="dxa" w:w="120"/>
                    <w:bottom w:type="dxa" w:w="100"/>
                    <w:right w:type="dxa" w:w="120"/>
                  </w:tcMar>
                  <w:vAlign w:val="center"/>
                </w:tcPr>
                <w:p>
                  <w:r>
                    <w:rPr>
                      <w:b w:val="false"/>
                      <w:bCs w:val="false"/>
                      <w:color w:val="1F2937"/>
                      <w:sz w:val="19"/>
                      <w:szCs w:val="19"/>
                    </w:rPr>
                    <w:t xml:space="preserve">compliance, auditor, toezichthouder</w:t>
                  </w:r>
                </w:p>
              </w:tc>
              <w:tc>
                <w:tcPr>
                  <w:tcW w:type="dxa" w:w="1738"/>
                  <w:tcMar>
                    <w:top w:type="dxa" w:w="100"/>
                    <w:left w:type="dxa" w:w="120"/>
                    <w:bottom w:type="dxa" w:w="100"/>
                    <w:right w:type="dxa" w:w="120"/>
                  </w:tcMar>
                  <w:vAlign w:val="center"/>
                </w:tcPr>
                <w:p>
                  <w:r>
                    <w:rPr>
                      <w:b w:val="false"/>
                      <w:bCs w:val="false"/>
                      <w:color w:val="1F2937"/>
                      <w:sz w:val="19"/>
                      <w:szCs w:val="19"/>
                    </w:rPr>
                    <w:t xml:space="preserve">onveranderlijk, met vastgelegde toegang</w:t>
                  </w:r>
                </w:p>
              </w:tc>
            </w:tr>
          </w:tbl>
          <w:p>
            <w:pPr>
              <w:spacing w:after="100"/>
            </w:pPr>
          </w:p>
          <w:p>
            <w:pPr>
              <w:spacing w:after="120" w:line="276"/>
            </w:pPr>
            <w:r>
              <w:rPr>
                <w:color w:val="1F2937"/>
                <w:sz w:val="21"/>
                <w:szCs w:val="21"/>
              </w:rPr>
              <w:t xml:space="preserve">Groepen die deze drie in één voorziening stoppen, lopen tegen twee dingen aan: technische logging zeven jaar bewaren is duur en een AVG-risico, en gebeurtenissen na twee weken opschonen maakt QS-4 onhaalbaar.</w:t>
            </w:r>
          </w:p>
        </w:tc>
      </w:tr>
    </w:tbl>
    <w:p>
      <w:pPr>
        <w:spacing w:after="300"/>
      </w:pPr>
    </w:p>
    <w:p>
      <w:pPr>
        <w:pStyle w:val="Heading1"/>
        <w:pBdr>
          <w:bottom w:val="single" w:color="E5E7EB" w:sz="6" w:space="6"/>
        </w:pBdr>
        <w:spacing w:after="180" w:before="380"/>
      </w:pPr>
      <w:r>
        <w:rPr>
          <w:b/>
          <w:bCs/>
          <w:color w:val="1F3A5F"/>
          <w:sz w:val="30"/>
          <w:szCs w:val="30"/>
        </w:rPr>
        <w:t xml:space="preserve">Opdracht 8.4 — Het datumconcept (duo's, 30 minuten)</w:t>
      </w:r>
    </w:p>
    <w:p>
      <w:pPr>
        <w:spacing w:after="160" w:line="276"/>
      </w:pPr>
      <w:r>
        <w:rPr>
          <w:color w:val="1F2937"/>
          <w:sz w:val="22"/>
          <w:szCs w:val="22"/>
        </w:rPr>
        <w:t xml:space="preserve">Bijlage V bevat vier datumproblemen uit de productieomgeving van Meridiaan.</w:t>
      </w:r>
    </w:p>
    <w:p>
      <w:pPr>
        <w:pStyle w:val="ListParagraph"/>
        <w:numPr>
          <w:ilvl w:val="0"/>
          <w:numId w:val="2"/>
        </w:numPr>
        <w:spacing w:after="100"/>
      </w:pPr>
      <w:r>
        <w:rPr>
          <w:b/>
          <w:bCs/>
          <w:color w:val="1F2937"/>
          <w:sz w:val="22"/>
          <w:szCs w:val="22"/>
        </w:rPr>
        <w:t xml:space="preserve">a)</w:t>
      </w:r>
      <w:r>
        <w:rPr>
          <w:color w:val="1F2937"/>
          <w:sz w:val="22"/>
          <w:szCs w:val="22"/>
        </w:rPr>
        <w:t xml:space="preserve"> Bepaal per geval welke van de drie datumsoorten door elkaar zijn gehaald, en wat het gevolg was voor de deelnemer.</w:t>
      </w:r>
    </w:p>
    <w:p>
      <w:pPr>
        <w:pStyle w:val="ListParagraph"/>
        <w:numPr>
          <w:ilvl w:val="0"/>
          <w:numId w:val="2"/>
        </w:numPr>
        <w:spacing w:after="100"/>
      </w:pPr>
      <w:r>
        <w:rPr>
          <w:b/>
          <w:bCs/>
          <w:color w:val="1F2937"/>
          <w:sz w:val="22"/>
          <w:szCs w:val="22"/>
        </w:rPr>
        <w:t xml:space="preserve">b)</w:t>
      </w:r>
      <w:r>
        <w:rPr>
          <w:color w:val="1F2937"/>
          <w:sz w:val="22"/>
          <w:szCs w:val="22"/>
        </w:rPr>
        <w:t xml:space="preserve"> Stel het datumconcept op voor Mutatie 2.0: de definities, de opslagregel, de rekenregel, en de plaats waar dit in de documentatie hoort.</w:t>
      </w:r>
    </w:p>
    <w:p>
      <w:pPr>
        <w:pStyle w:val="ListParagraph"/>
        <w:numPr>
          <w:ilvl w:val="0"/>
          <w:numId w:val="2"/>
        </w:numPr>
        <w:spacing w:after="100"/>
      </w:pPr>
      <w:r>
        <w:rPr>
          <w:b/>
          <w:bCs/>
          <w:color w:val="1F2937"/>
          <w:sz w:val="22"/>
          <w:szCs w:val="22"/>
        </w:rPr>
        <w:t xml:space="preserve">c)</w:t>
      </w:r>
      <w:r>
        <w:rPr>
          <w:color w:val="1F2937"/>
          <w:sz w:val="22"/>
          <w:szCs w:val="22"/>
        </w:rPr>
        <w:t xml:space="preserve"> Werk het volgende geval uit: een deelnemer verhuist per 1 juni. Hij meldt het op 14 juni. Op 5 juni is een uitkering betaald op basis van het oude adres, met een bronbelastingtarief dat afhangt van het woonland. De verhuizing is naar het buitenland. Welke datums spelen er, en welke is leidend voor de belastingberekening? Wat moet het systeem met de reeds gedane betaling? Welke gebeurtenissen legt u vast, en in welke volgorde?</w:t>
      </w:r>
    </w:p>
    <w:p>
      <w:pPr>
        <w:pStyle w:val="ListParagraph"/>
        <w:numPr>
          <w:ilvl w:val="0"/>
          <w:numId w:val="2"/>
        </w:numPr>
        <w:spacing w:after="100"/>
      </w:pPr>
      <w:r>
        <w:rPr>
          <w:b/>
          <w:bCs/>
          <w:color w:val="1F2937"/>
          <w:sz w:val="22"/>
          <w:szCs w:val="22"/>
        </w:rPr>
        <w:t xml:space="preserve">d)</w:t>
      </w:r>
      <w:r>
        <w:rPr>
          <w:color w:val="1F2937"/>
          <w:sz w:val="22"/>
          <w:szCs w:val="22"/>
        </w:rPr>
        <w:t xml:space="preserve"> Beantwoord: welke van de vier regels uit paragraaf 8.6 zou geval c) hebben voorkomen? En welke niet — omdat het geen technisch maar een procesprobleem 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8.4</w:t>
            </w:r>
          </w:p>
          <w:p>
            <w:pPr>
              <w:spacing w:after="80"/>
            </w:pPr>
          </w:p>
          <w:p>
            <w:pPr>
              <w:spacing w:after="120" w:line="276"/>
            </w:pPr>
            <w:r>
              <w:rPr>
                <w:b/>
                <w:bCs/>
                <w:color w:val="1F2937"/>
                <w:sz w:val="21"/>
                <w:szCs w:val="21"/>
              </w:rPr>
              <w:t xml:space="preserve">a) </w:t>
            </w:r>
            <w:r>
              <w:rPr>
                <w:color w:val="1F2937"/>
                <w:sz w:val="21"/>
                <w:szCs w:val="21"/>
              </w:rPr>
              <w:t xml:space="preserve">De vier gevallen in bijlage V verwarren respectievelijk: ingangsdatum met verwerkingsdatum (waardoor een uitkering een maand te laat inging), peildatum met verwerkingsdatum (waardoor een berekening op verkeerde gegevens gebaseerd was), ingangsdatum met peildatum bij terugwerkende kracht, en lokale tijd met UTC bij een batch rond de zomertijdovergang.</w:t>
            </w:r>
          </w:p>
          <w:p>
            <w:pPr>
              <w:spacing w:after="120" w:line="276"/>
            </w:pPr>
            <w:r>
              <w:rPr>
                <w:color w:val="1F2937"/>
                <w:sz w:val="21"/>
                <w:szCs w:val="21"/>
              </w:rPr>
              <w:t xml:space="preserve">Het vierde geval is het aardigst: de nachtbatch draaide op de laatste zondag van oktober twee keer, waardoor een deel van de mutaties dubbel werd aangeboden. Dat is precies waarom regel 1 uit paragraaf 8.6 bestaat — en waarom idempotentie uit deel 5 geen theoretisch punt is.</w:t>
            </w:r>
          </w:p>
          <w:p>
            <w:pPr>
              <w:spacing w:after="80"/>
            </w:pPr>
          </w:p>
          <w:p>
            <w:pPr>
              <w:spacing w:after="120" w:line="276"/>
            </w:pPr>
            <w:r>
              <w:rPr>
                <w:b/>
                <w:bCs/>
                <w:color w:val="1F2937"/>
                <w:sz w:val="21"/>
                <w:szCs w:val="21"/>
              </w:rPr>
              <w:t xml:space="preserve">c) Het verhuisgeval.</w:t>
            </w:r>
            <w:r>
              <w:rPr>
                <w:color w:val="1F2937"/>
                <w:sz w:val="21"/>
                <w:szCs w:val="21"/>
              </w:rPr>
              <w:t xml:space="preserve"/>
            </w:r>
          </w:p>
          <w:p>
            <w:pPr>
              <w:spacing w:after="120" w:line="276"/>
            </w:pPr>
            <w:r>
              <w:rPr>
                <w:b/>
                <w:bCs/>
                <w:color w:val="1F2937"/>
                <w:sz w:val="21"/>
                <w:szCs w:val="21"/>
              </w:rPr>
              <w:t xml:space="preserve">Datums: </w:t>
            </w:r>
            <w:r>
              <w:rPr>
                <w:color w:val="1F2937"/>
                <w:sz w:val="21"/>
                <w:szCs w:val="21"/>
              </w:rPr>
              <w:t xml:space="preserve">ingangsdatum 1 juni (de feitelijke verhuizing), verwerkingsdatum 14 juni (de melding), betalingsdatum 5 juni, en de peildatum die het belastingtarief bepaalt — welke dat is, volgt uit het reglement en de fiscale regels, niet uit het systeem. In de regel is de ingangsdatum leidend voor het woonland, want het gaat om de feitelijke situatie.</w:t>
            </w:r>
          </w:p>
          <w:p>
            <w:pPr>
              <w:spacing w:after="120" w:line="276"/>
            </w:pPr>
            <w:r>
              <w:rPr>
                <w:b/>
                <w:bCs/>
                <w:color w:val="1F2937"/>
                <w:sz w:val="21"/>
                <w:szCs w:val="21"/>
              </w:rPr>
              <w:t xml:space="preserve">De gedane betaling: </w:t>
            </w:r>
            <w:r>
              <w:rPr>
                <w:color w:val="1F2937"/>
                <w:sz w:val="21"/>
                <w:szCs w:val="21"/>
              </w:rPr>
              <w:t xml:space="preserve">die is achteraf onjuist. Het systeem moet dat kunnen vaststellen (dat kan alleen als het de toestand op 5 juni kan reconstrueren) en de correctie in gang zetten. Het systeem beslist niet zelf over terugvordering of verrekening — dat is beleid.</w:t>
            </w:r>
          </w:p>
          <w:p>
            <w:pPr>
              <w:spacing w:after="120" w:line="276"/>
            </w:pPr>
            <w:r>
              <w:rPr>
                <w:b/>
                <w:bCs/>
                <w:color w:val="1F2937"/>
                <w:sz w:val="21"/>
                <w:szCs w:val="21"/>
              </w:rPr>
              <w:t xml:space="preserve">Gebeurtenissen, in volgorde van vastlegging: </w:t>
            </w:r>
            <w:r>
              <w:rPr>
                <w:color w:val="1F2937"/>
                <w:sz w:val="21"/>
                <w:szCs w:val="21"/>
              </w:rPr>
              <w:t xml:space="preserve">betaling gedaan op basis van woonland NL (5 juni); adreswijziging gemeld (14 juni) met ingangsdatum 1 juni; vastgesteld dat een reeds gedane betaling wordt geraakt; correctie aangemaakt. Merk op dat de volgorde van vastlegging verschilt van de volgorde van ingang — dat is precies waarom beide worden bijgehouden.</w:t>
            </w:r>
          </w:p>
          <w:p>
            <w:pPr>
              <w:spacing w:after="80"/>
            </w:pPr>
          </w:p>
          <w:p>
            <w:pPr>
              <w:spacing w:after="120" w:line="276"/>
            </w:pPr>
            <w:r>
              <w:rPr>
                <w:b/>
                <w:bCs/>
                <w:color w:val="1F2937"/>
                <w:sz w:val="21"/>
                <w:szCs w:val="21"/>
              </w:rPr>
              <w:t xml:space="preserve">d) Welke regel had het voorkomen? </w:t>
            </w:r>
            <w:r>
              <w:rPr>
                <w:color w:val="1F2937"/>
                <w:sz w:val="21"/>
                <w:szCs w:val="21"/>
              </w:rPr>
              <w:t xml:space="preserve">Regel 4 (vastleggen welke datum leidend is) en regel 2 (datum zonder tijd) hadden de verwerkingsfout voorkomen. Regel 3 (klok niet rechtstreeks lezen) had het testen mogelijk gemaakt.</w:t>
            </w:r>
          </w:p>
          <w:p>
            <w:pPr>
              <w:spacing w:after="120" w:line="276"/>
            </w:pPr>
            <w:r>
              <w:rPr>
                <w:b/>
                <w:bCs/>
                <w:color w:val="1F2937"/>
                <w:sz w:val="21"/>
                <w:szCs w:val="21"/>
              </w:rPr>
              <w:t xml:space="preserve">Wat geen enkele regel voorkomt: </w:t>
            </w:r>
            <w:r>
              <w:rPr>
                <w:color w:val="1F2937"/>
                <w:sz w:val="21"/>
                <w:szCs w:val="21"/>
              </w:rPr>
              <w:t xml:space="preserve">dat een deelnemer twee weken na zijn verhuizing meldt. Dat is een procesprobleem — de betaling ging uit voordat de informatie beschikbaar was. De architectuur kan niet voorkomen dat de werkelijkheid later binnenkomt dan zij plaatsvindt; zij kan alleen zorgen dat het systeem daarmee correct omgaat.</w:t>
            </w:r>
          </w:p>
          <w:p>
            <w:pPr>
              <w:spacing w:after="120" w:line="276"/>
            </w:pPr>
            <w:r>
              <w:rPr>
                <w:color w:val="1F2937"/>
                <w:sz w:val="21"/>
                <w:szCs w:val="21"/>
              </w:rPr>
              <w:t xml:space="preserve">Deelnemers die dat onderscheid maken, hebben de belangrijkste les van dit onderdeel te pakken: terugwerkende kracht is geen fout die u wegontwerpt, maar een eigenschap van administratieve werkelijkheid die uw systeem moet aankunnen.</w:t>
            </w:r>
          </w:p>
        </w:tc>
      </w:tr>
    </w:tbl>
    <w:p>
      <w:pPr>
        <w:spacing w:after="300"/>
      </w:pPr>
    </w:p>
    <w:p>
      <w:pPr>
        <w:pStyle w:val="Heading1"/>
        <w:pBdr>
          <w:bottom w:val="single" w:color="E5E7EB" w:sz="6" w:space="6"/>
        </w:pBdr>
        <w:spacing w:after="180" w:before="380"/>
      </w:pPr>
      <w:r>
        <w:rPr>
          <w:b/>
          <w:bCs/>
          <w:color w:val="1F3A5F"/>
          <w:sz w:val="30"/>
          <w:szCs w:val="30"/>
        </w:rPr>
        <w:t xml:space="preserve">Opdracht 8.5 — Handhaving kiezen (groepen van vier, 20 minuten)</w:t>
      </w:r>
    </w:p>
    <w:p>
      <w:pPr>
        <w:spacing w:after="160" w:line="276"/>
      </w:pPr>
      <w:r>
        <w:rPr>
          <w:color w:val="1F2937"/>
          <w:sz w:val="22"/>
          <w:szCs w:val="22"/>
        </w:rPr>
        <w:t xml:space="preserve">Bepaal voor elk van de zes concepten hoe u het handhaaft: onvermijdelijk, controleerbaar, voorbeeldig of afgesproken. Motiveer, en noem bij "onvermijdelijk" en "controleerbaar" het concrete middel.</w:t>
      </w:r>
    </w:p>
    <w:p>
      <w:pPr>
        <w:pStyle w:val="ListParagraph"/>
        <w:numPr>
          <w:ilvl w:val="0"/>
          <w:numId w:val="3"/>
        </w:numPr>
        <w:spacing w:after="120"/>
      </w:pPr>
      <w:r>
        <w:rPr>
          <w:color w:val="1F2937"/>
          <w:sz w:val="22"/>
          <w:szCs w:val="22"/>
        </w:rPr>
        <w:t xml:space="preserve">Correlatie-identificatie meegeven</w:t>
      </w:r>
    </w:p>
    <w:p>
      <w:pPr>
        <w:pStyle w:val="ListParagraph"/>
        <w:numPr>
          <w:ilvl w:val="0"/>
          <w:numId w:val="3"/>
        </w:numPr>
        <w:spacing w:after="120"/>
      </w:pPr>
      <w:r>
        <w:rPr>
          <w:color w:val="1F2937"/>
          <w:sz w:val="22"/>
          <w:szCs w:val="22"/>
        </w:rPr>
        <w:t xml:space="preserve">Datums opslaan in UTC</w:t>
      </w:r>
    </w:p>
    <w:p>
      <w:pPr>
        <w:pStyle w:val="ListParagraph"/>
        <w:numPr>
          <w:ilvl w:val="0"/>
          <w:numId w:val="3"/>
        </w:numPr>
        <w:spacing w:after="120"/>
      </w:pPr>
      <w:r>
        <w:rPr>
          <w:color w:val="1F2937"/>
          <w:sz w:val="22"/>
          <w:szCs w:val="22"/>
        </w:rPr>
        <w:t xml:space="preserve">De systeemklok niet rechtstreeks lezen</w:t>
      </w:r>
    </w:p>
    <w:p>
      <w:pPr>
        <w:pStyle w:val="ListParagraph"/>
        <w:numPr>
          <w:ilvl w:val="0"/>
          <w:numId w:val="3"/>
        </w:numPr>
        <w:spacing w:after="120"/>
      </w:pPr>
      <w:r>
        <w:rPr>
          <w:color w:val="1F2937"/>
          <w:sz w:val="22"/>
          <w:szCs w:val="22"/>
        </w:rPr>
        <w:t xml:space="preserve">Foutsoortindeling toepassen</w:t>
      </w:r>
    </w:p>
    <w:p>
      <w:pPr>
        <w:pStyle w:val="ListParagraph"/>
        <w:numPr>
          <w:ilvl w:val="0"/>
          <w:numId w:val="3"/>
        </w:numPr>
        <w:spacing w:after="120"/>
      </w:pPr>
      <w:r>
        <w:rPr>
          <w:color w:val="1F2937"/>
          <w:sz w:val="22"/>
          <w:szCs w:val="22"/>
        </w:rPr>
        <w:t xml:space="preserve">Welke datum leidend is per berekening</w:t>
      </w:r>
    </w:p>
    <w:p>
      <w:pPr>
        <w:pStyle w:val="ListParagraph"/>
        <w:numPr>
          <w:ilvl w:val="0"/>
          <w:numId w:val="3"/>
        </w:numPr>
        <w:spacing w:after="120"/>
      </w:pPr>
      <w:r>
        <w:rPr>
          <w:color w:val="1F2937"/>
          <w:sz w:val="22"/>
          <w:szCs w:val="22"/>
        </w:rPr>
        <w:t xml:space="preserve">Alle gebruikersgerichte tekst uit één voorziening</w:t>
      </w:r>
    </w:p>
    <w:p>
      <w:pPr>
        <w:spacing w:after="160" w:line="276"/>
      </w:pPr>
      <w:r>
        <w:rPr>
          <w:b/>
          <w:bCs/>
          <w:color w:val="1F2937"/>
          <w:sz w:val="22"/>
          <w:szCs w:val="22"/>
        </w:rPr>
        <w:t xml:space="preserve">Vervolgvraag: </w:t>
      </w:r>
      <w:r>
        <w:rPr>
          <w:color w:val="1F2937"/>
          <w:sz w:val="22"/>
          <w:szCs w:val="22"/>
        </w:rPr>
        <w:t xml:space="preserve">welke van de zes is niet te automatiseren? Wat betekent dat voor de manier waarop u hem borgt?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8.5</w:t>
            </w:r>
          </w:p>
          <w:p>
            <w:pPr>
              <w:spacing w:after="80"/>
            </w:pPr>
          </w:p>
          <w:tbl>
            <w:tblPr>
              <w:tblW w:type="dxa" w:w="90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700"/>
              <w:gridCol w:w="2400"/>
              <w:gridCol w:w="3938"/>
            </w:tblGrid>
            <w:tr>
              <w:trPr>
                <w:tblHeader/>
              </w:trPr>
              <w:tc>
                <w:tcPr>
                  <w:tcW w:type="dxa" w:w="2700"/>
                  <w:shd w:fill="1F3A5F" w:val="clear"/>
                  <w:tcMar>
                    <w:top w:type="dxa" w:w="100"/>
                    <w:left w:type="dxa" w:w="120"/>
                    <w:bottom w:type="dxa" w:w="100"/>
                    <w:right w:type="dxa" w:w="120"/>
                  </w:tcMar>
                  <w:vAlign w:val="center"/>
                </w:tcPr>
                <w:p>
                  <w:r>
                    <w:rPr>
                      <w:b/>
                      <w:bCs/>
                      <w:color w:val="FFFFFF"/>
                      <w:sz w:val="19"/>
                      <w:szCs w:val="19"/>
                    </w:rPr>
                    <w:t xml:space="preserve">Concept</w:t>
                  </w:r>
                </w:p>
              </w:tc>
              <w:tc>
                <w:tcPr>
                  <w:tcW w:type="dxa" w:w="2400"/>
                  <w:shd w:fill="1F3A5F" w:val="clear"/>
                  <w:tcMar>
                    <w:top w:type="dxa" w:w="100"/>
                    <w:left w:type="dxa" w:w="120"/>
                    <w:bottom w:type="dxa" w:w="100"/>
                    <w:right w:type="dxa" w:w="120"/>
                  </w:tcMar>
                  <w:vAlign w:val="center"/>
                </w:tcPr>
                <w:p>
                  <w:r>
                    <w:rPr>
                      <w:b/>
                      <w:bCs/>
                      <w:color w:val="FFFFFF"/>
                      <w:sz w:val="19"/>
                      <w:szCs w:val="19"/>
                    </w:rPr>
                    <w:t xml:space="preserve">Handhaving</w:t>
                  </w:r>
                </w:p>
              </w:tc>
              <w:tc>
                <w:tcPr>
                  <w:tcW w:type="dxa" w:w="3938"/>
                  <w:shd w:fill="1F3A5F" w:val="clear"/>
                  <w:tcMar>
                    <w:top w:type="dxa" w:w="100"/>
                    <w:left w:type="dxa" w:w="120"/>
                    <w:bottom w:type="dxa" w:w="100"/>
                    <w:right w:type="dxa" w:w="120"/>
                  </w:tcMar>
                  <w:vAlign w:val="center"/>
                </w:tcPr>
                <w:p>
                  <w:r>
                    <w:rPr>
                      <w:b/>
                      <w:bCs/>
                      <w:color w:val="FFFFFF"/>
                      <w:sz w:val="19"/>
                      <w:szCs w:val="19"/>
                    </w:rPr>
                    <w:t xml:space="preserve">Middel</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1 Correlatie meegeven</w:t>
                  </w:r>
                </w:p>
              </w:tc>
              <w:tc>
                <w:tcPr>
                  <w:tcW w:type="dxa" w:w="2400"/>
                  <w:tcMar>
                    <w:top w:type="dxa" w:w="100"/>
                    <w:left w:type="dxa" w:w="120"/>
                    <w:bottom w:type="dxa" w:w="100"/>
                    <w:right w:type="dxa" w:w="120"/>
                  </w:tcMar>
                  <w:vAlign w:val="center"/>
                </w:tcPr>
                <w:p>
                  <w:r>
                    <w:rPr>
                      <w:b w:val="false"/>
                      <w:bCs w:val="false"/>
                      <w:color w:val="1F2937"/>
                      <w:sz w:val="19"/>
                      <w:szCs w:val="19"/>
                    </w:rPr>
                    <w:t xml:space="preserve">Onvermijdelijk</w:t>
                  </w:r>
                </w:p>
              </w:tc>
              <w:tc>
                <w:tcPr>
                  <w:tcW w:type="dxa" w:w="3938"/>
                  <w:tcMar>
                    <w:top w:type="dxa" w:w="100"/>
                    <w:left w:type="dxa" w:w="120"/>
                    <w:bottom w:type="dxa" w:w="100"/>
                    <w:right w:type="dxa" w:w="120"/>
                  </w:tcMar>
                  <w:vAlign w:val="center"/>
                </w:tcPr>
                <w:p>
                  <w:r>
                    <w:rPr>
                      <w:b w:val="false"/>
                      <w:bCs w:val="false"/>
                      <w:color w:val="1F2937"/>
                      <w:sz w:val="19"/>
                      <w:szCs w:val="19"/>
                    </w:rPr>
                    <w:t xml:space="preserve">Ingebouwd in de gedeelde aanroep- en gebeurtenisinfrastructuur; wie het gebruikt, krijgt het gratis</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2 Opslag in UTC</w:t>
                  </w:r>
                </w:p>
              </w:tc>
              <w:tc>
                <w:tcPr>
                  <w:tcW w:type="dxa" w:w="2400"/>
                  <w:tcMar>
                    <w:top w:type="dxa" w:w="100"/>
                    <w:left w:type="dxa" w:w="120"/>
                    <w:bottom w:type="dxa" w:w="100"/>
                    <w:right w:type="dxa" w:w="120"/>
                  </w:tcMar>
                  <w:vAlign w:val="center"/>
                </w:tcPr>
                <w:p>
                  <w:r>
                    <w:rPr>
                      <w:b w:val="false"/>
                      <w:bCs w:val="false"/>
                      <w:color w:val="1F2937"/>
                      <w:sz w:val="19"/>
                      <w:szCs w:val="19"/>
                    </w:rPr>
                    <w:t xml:space="preserve">Controleerbaar</w:t>
                  </w:r>
                </w:p>
              </w:tc>
              <w:tc>
                <w:tcPr>
                  <w:tcW w:type="dxa" w:w="3938"/>
                  <w:tcMar>
                    <w:top w:type="dxa" w:w="100"/>
                    <w:left w:type="dxa" w:w="120"/>
                    <w:bottom w:type="dxa" w:w="100"/>
                    <w:right w:type="dxa" w:w="120"/>
                  </w:tcMar>
                  <w:vAlign w:val="center"/>
                </w:tcPr>
                <w:p>
                  <w:r>
                    <w:rPr>
                      <w:b w:val="false"/>
                      <w:bCs w:val="false"/>
                      <w:color w:val="1F2937"/>
                      <w:sz w:val="19"/>
                      <w:szCs w:val="19"/>
                    </w:rPr>
                    <w:t xml:space="preserve">Schemacontrole en een bouwstraattoets op lokale-tijdtypes in de opslaglaag</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3 Klok niet rechtstreeks lezen</w:t>
                  </w:r>
                </w:p>
              </w:tc>
              <w:tc>
                <w:tcPr>
                  <w:tcW w:type="dxa" w:w="2400"/>
                  <w:tcMar>
                    <w:top w:type="dxa" w:w="100"/>
                    <w:left w:type="dxa" w:w="120"/>
                    <w:bottom w:type="dxa" w:w="100"/>
                    <w:right w:type="dxa" w:w="120"/>
                  </w:tcMar>
                  <w:vAlign w:val="center"/>
                </w:tcPr>
                <w:p>
                  <w:r>
                    <w:rPr>
                      <w:b w:val="false"/>
                      <w:bCs w:val="false"/>
                      <w:color w:val="1F2937"/>
                      <w:sz w:val="19"/>
                      <w:szCs w:val="19"/>
                    </w:rPr>
                    <w:t xml:space="preserve">Controleerbaar</w:t>
                  </w:r>
                </w:p>
              </w:tc>
              <w:tc>
                <w:tcPr>
                  <w:tcW w:type="dxa" w:w="3938"/>
                  <w:tcMar>
                    <w:top w:type="dxa" w:w="100"/>
                    <w:left w:type="dxa" w:w="120"/>
                    <w:bottom w:type="dxa" w:w="100"/>
                    <w:right w:type="dxa" w:w="120"/>
                  </w:tcMar>
                  <w:vAlign w:val="center"/>
                </w:tcPr>
                <w:p>
                  <w:r>
                    <w:rPr>
                      <w:b w:val="false"/>
                      <w:bCs w:val="false"/>
                      <w:color w:val="1F2937"/>
                      <w:sz w:val="19"/>
                      <w:szCs w:val="19"/>
                    </w:rPr>
                    <w:t xml:space="preserve">Bouwstraatcontrole die faalt bij een rechtstreekse klokaanroep buiten de tijdadapter</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4 Foutsoortindeling</w:t>
                  </w:r>
                </w:p>
              </w:tc>
              <w:tc>
                <w:tcPr>
                  <w:tcW w:type="dxa" w:w="2400"/>
                  <w:tcMar>
                    <w:top w:type="dxa" w:w="100"/>
                    <w:left w:type="dxa" w:w="120"/>
                    <w:bottom w:type="dxa" w:w="100"/>
                    <w:right w:type="dxa" w:w="120"/>
                  </w:tcMar>
                  <w:vAlign w:val="center"/>
                </w:tcPr>
                <w:p>
                  <w:r>
                    <w:rPr>
                      <w:b w:val="false"/>
                      <w:bCs w:val="false"/>
                      <w:color w:val="1F2937"/>
                      <w:sz w:val="19"/>
                      <w:szCs w:val="19"/>
                    </w:rPr>
                    <w:t xml:space="preserve">Voorbeeldig + controleerbaar</w:t>
                  </w:r>
                </w:p>
              </w:tc>
              <w:tc>
                <w:tcPr>
                  <w:tcW w:type="dxa" w:w="3938"/>
                  <w:tcMar>
                    <w:top w:type="dxa" w:w="100"/>
                    <w:left w:type="dxa" w:w="120"/>
                    <w:bottom w:type="dxa" w:w="100"/>
                    <w:right w:type="dxa" w:w="120"/>
                  </w:tcMar>
                  <w:vAlign w:val="center"/>
                </w:tcPr>
                <w:p>
                  <w:r>
                    <w:rPr>
                      <w:b w:val="false"/>
                      <w:bCs w:val="false"/>
                      <w:color w:val="1F2937"/>
                      <w:sz w:val="19"/>
                      <w:szCs w:val="19"/>
                    </w:rPr>
                    <w:t xml:space="preserve">Gedeelde fouttypen die de indeling afdwingen; een generieke foutklasse kan technisch onmogelijk worden gemaakt</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5 Welke datum leidend is</w:t>
                  </w:r>
                </w:p>
              </w:tc>
              <w:tc>
                <w:tcPr>
                  <w:tcW w:type="dxa" w:w="2400"/>
                  <w:tcMar>
                    <w:top w:type="dxa" w:w="100"/>
                    <w:left w:type="dxa" w:w="120"/>
                    <w:bottom w:type="dxa" w:w="100"/>
                    <w:right w:type="dxa" w:w="120"/>
                  </w:tcMar>
                  <w:vAlign w:val="center"/>
                </w:tcPr>
                <w:p>
                  <w:r>
                    <w:rPr>
                      <w:b w:val="false"/>
                      <w:bCs w:val="false"/>
                      <w:color w:val="1F2937"/>
                      <w:sz w:val="19"/>
                      <w:szCs w:val="19"/>
                    </w:rPr>
                    <w:t xml:space="preserve">Afgesproken</w:t>
                  </w:r>
                </w:p>
              </w:tc>
              <w:tc>
                <w:tcPr>
                  <w:tcW w:type="dxa" w:w="3938"/>
                  <w:tcMar>
                    <w:top w:type="dxa" w:w="100"/>
                    <w:left w:type="dxa" w:w="120"/>
                    <w:bottom w:type="dxa" w:w="100"/>
                    <w:right w:type="dxa" w:w="120"/>
                  </w:tcMar>
                  <w:vAlign w:val="center"/>
                </w:tcPr>
                <w:p>
                  <w:r>
                    <w:rPr>
                      <w:b w:val="false"/>
                      <w:bCs w:val="false"/>
                      <w:color w:val="1F2937"/>
                      <w:sz w:val="19"/>
                      <w:szCs w:val="19"/>
                    </w:rPr>
                    <w:t xml:space="preserve">Begrippenlijst en review; niet te automatiseren</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6 Tekst uit één voorziening</w:t>
                  </w:r>
                </w:p>
              </w:tc>
              <w:tc>
                <w:tcPr>
                  <w:tcW w:type="dxa" w:w="2400"/>
                  <w:tcMar>
                    <w:top w:type="dxa" w:w="100"/>
                    <w:left w:type="dxa" w:w="120"/>
                    <w:bottom w:type="dxa" w:w="100"/>
                    <w:right w:type="dxa" w:w="120"/>
                  </w:tcMar>
                  <w:vAlign w:val="center"/>
                </w:tcPr>
                <w:p>
                  <w:r>
                    <w:rPr>
                      <w:b w:val="false"/>
                      <w:bCs w:val="false"/>
                      <w:color w:val="1F2937"/>
                      <w:sz w:val="19"/>
                      <w:szCs w:val="19"/>
                    </w:rPr>
                    <w:t xml:space="preserve">Controleerbaar</w:t>
                  </w:r>
                </w:p>
              </w:tc>
              <w:tc>
                <w:tcPr>
                  <w:tcW w:type="dxa" w:w="3938"/>
                  <w:tcMar>
                    <w:top w:type="dxa" w:w="100"/>
                    <w:left w:type="dxa" w:w="120"/>
                    <w:bottom w:type="dxa" w:w="100"/>
                    <w:right w:type="dxa" w:w="120"/>
                  </w:tcMar>
                  <w:vAlign w:val="center"/>
                </w:tcPr>
                <w:p>
                  <w:r>
                    <w:rPr>
                      <w:b w:val="false"/>
                      <w:bCs w:val="false"/>
                      <w:color w:val="1F2937"/>
                      <w:sz w:val="19"/>
                      <w:szCs w:val="19"/>
                    </w:rPr>
                    <w:t xml:space="preserve">Bouwstraattoets op letterlijke gebruikerstekst in de logica</w:t>
                  </w:r>
                </w:p>
              </w:tc>
            </w:tr>
          </w:tbl>
          <w:p>
            <w:pPr>
              <w:spacing w:after="100"/>
            </w:pPr>
          </w:p>
          <w:p>
            <w:pPr>
              <w:spacing w:after="120" w:line="276"/>
            </w:pPr>
            <w:r>
              <w:rPr>
                <w:b/>
                <w:bCs/>
                <w:color w:val="1F2937"/>
                <w:sz w:val="21"/>
                <w:szCs w:val="21"/>
              </w:rPr>
              <w:t xml:space="preserve">De vervolgvraag.</w:t>
            </w:r>
            <w:r>
              <w:rPr>
                <w:color w:val="1F2937"/>
                <w:sz w:val="21"/>
                <w:szCs w:val="21"/>
              </w:rPr>
              <w:t xml:space="preserve"> Concept 5 is niet te automatiseren, en dat is geen toeval: het is het enige concept dat over betekenis gaat en niet over vorm. Een controle kan zien of u de klok leest; zij kan niet zien of u de juiste datum bedoelt.</w:t>
            </w:r>
          </w:p>
          <w:p>
            <w:pPr>
              <w:spacing w:after="120" w:line="276"/>
            </w:pPr>
            <w:r>
              <w:rPr>
                <w:b/>
                <w:bCs/>
                <w:color w:val="1F2937"/>
                <w:sz w:val="21"/>
                <w:szCs w:val="21"/>
              </w:rPr>
              <w:t xml:space="preserve">Wat dat betekent voor de borging: </w:t>
            </w:r>
            <w:r>
              <w:rPr>
                <w:color w:val="1F2937"/>
                <w:sz w:val="21"/>
                <w:szCs w:val="21"/>
              </w:rPr>
              <w:t xml:space="preserve">concept 5 moet in de begrippenlijst staan (arc42 hoofdstuk 12), moet in refinements ter sprake komen bij elke nieuwe berekening, en heeft een eigenaar nodig die erop let. Het is dus het concept met het hoogste risico én de zwakste handhaving — en daarom precies het concept waarbij het gremium uit deel 9 verschil maakt.</w:t>
            </w:r>
          </w:p>
        </w:tc>
      </w:tr>
    </w:tbl>
    <w:p>
      <w:pPr>
        <w:spacing w:after="300"/>
      </w:pPr>
    </w:p>
    <w:p>
      <w:pPr>
        <w:pStyle w:val="Heading1"/>
        <w:pBdr>
          <w:bottom w:val="single" w:color="E5E7EB" w:sz="6" w:space="6"/>
        </w:pBdr>
        <w:spacing w:after="180" w:before="380"/>
      </w:pPr>
      <w:r>
        <w:rPr>
          <w:b/>
          <w:bCs/>
          <w:color w:val="1F3A5F"/>
          <w:sz w:val="30"/>
          <w:szCs w:val="30"/>
        </w:rPr>
        <w:t xml:space="preserve">Opdracht 8.6 — Uw eigen systeem (individueel huiswerk, 40 minuten)</w:t>
      </w:r>
    </w:p>
    <w:p>
      <w:pPr>
        <w:pStyle w:val="ListParagraph"/>
        <w:numPr>
          <w:ilvl w:val="0"/>
          <w:numId w:val="2"/>
        </w:numPr>
        <w:spacing w:after="100"/>
      </w:pPr>
      <w:r>
        <w:rPr>
          <w:b/>
          <w:bCs/>
          <w:color w:val="1F2937"/>
          <w:sz w:val="22"/>
          <w:szCs w:val="22"/>
        </w:rPr>
        <w:t xml:space="preserve">a)</w:t>
      </w:r>
      <w:r>
        <w:rPr>
          <w:color w:val="1F2937"/>
          <w:sz w:val="22"/>
          <w:szCs w:val="22"/>
        </w:rPr>
        <w:t xml:space="preserve"> Neem drie cross-cutting concepten uit uw eigen systeem. Zijn ze vastgelegd? Zo ja, waar — en klopt het nog?</w:t>
      </w:r>
    </w:p>
    <w:p>
      <w:pPr>
        <w:pStyle w:val="ListParagraph"/>
        <w:numPr>
          <w:ilvl w:val="0"/>
          <w:numId w:val="2"/>
        </w:numPr>
        <w:spacing w:after="100"/>
      </w:pPr>
      <w:r>
        <w:rPr>
          <w:b/>
          <w:bCs/>
          <w:color w:val="1F2937"/>
          <w:sz w:val="22"/>
          <w:szCs w:val="22"/>
        </w:rPr>
        <w:t xml:space="preserve">b)</w:t>
      </w:r>
      <w:r>
        <w:rPr>
          <w:color w:val="1F2937"/>
          <w:sz w:val="22"/>
          <w:szCs w:val="22"/>
        </w:rPr>
        <w:t xml:space="preserve"> Zoek één concept dat aantoonbaar verschillend is geïmplementeerd op verschillende plekken. Hoe is dat ontstaan, en wat kost het?</w:t>
      </w:r>
    </w:p>
    <w:p>
      <w:pPr>
        <w:pStyle w:val="ListParagraph"/>
        <w:numPr>
          <w:ilvl w:val="0"/>
          <w:numId w:val="2"/>
        </w:numPr>
        <w:spacing w:after="100"/>
      </w:pPr>
      <w:r>
        <w:rPr>
          <w:b/>
          <w:bCs/>
          <w:color w:val="1F2937"/>
          <w:sz w:val="22"/>
          <w:szCs w:val="22"/>
        </w:rPr>
        <w:t xml:space="preserve">c)</w:t>
      </w:r>
      <w:r>
        <w:rPr>
          <w:color w:val="1F2937"/>
          <w:sz w:val="22"/>
          <w:szCs w:val="22"/>
        </w:rPr>
        <w:t xml:space="preserve"> Als u morgen één concept onvermijdelijk zou mogen maken — welk, en met welk middel? Wat zou het kosten om het in te voeren op de bestaande code?</w:t>
      </w:r>
    </w:p>
    <w:p>
      <w:pPr>
        <w:pStyle w:val="ListParagraph"/>
        <w:numPr>
          <w:ilvl w:val="0"/>
          <w:numId w:val="2"/>
        </w:numPr>
        <w:spacing w:after="100"/>
      </w:pPr>
      <w:r>
        <w:rPr>
          <w:b/>
          <w:bCs/>
          <w:color w:val="1F2937"/>
          <w:sz w:val="22"/>
          <w:szCs w:val="22"/>
        </w:rPr>
        <w:t xml:space="preserve">d)</w:t>
      </w:r>
      <w:r>
        <w:rPr>
          <w:color w:val="1F2937"/>
          <w:sz w:val="22"/>
          <w:szCs w:val="22"/>
        </w:rPr>
        <w:t xml:space="preserve"> Heeft uw organisatie een eigenaar voor cross-cutting concepten? Zo nee, wie zou het moeten zijn, en wat ontbreekt hem aan bevoegdheid?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8.6</w:t>
            </w:r>
          </w:p>
          <w:p>
            <w:pPr>
              <w:spacing w:after="80"/>
            </w:pPr>
          </w:p>
          <w:p>
            <w:pPr>
              <w:spacing w:after="120" w:line="276"/>
            </w:pPr>
            <w:r>
              <w:rPr>
                <w:color w:val="1F2937"/>
                <w:sz w:val="21"/>
                <w:szCs w:val="21"/>
              </w:rPr>
              <w:t xml:space="preserve">Individueel. Bij b) is het meest genoemde antwoord foutafhandeling of logging, en de ontstaansgeschiedenis is vrijwel altijd dezelfde: er was geen afspraak toen het eerste team begon, en elk volgend team keek naar iets anders of naar niets.</w:t>
            </w:r>
          </w:p>
          <w:p>
            <w:pPr>
              <w:spacing w:after="120" w:line="276"/>
            </w:pPr>
            <w:r>
              <w:rPr>
                <w:color w:val="1F2937"/>
                <w:sz w:val="21"/>
                <w:szCs w:val="21"/>
              </w:rPr>
              <w:t xml:space="preserve">Bij d) is het antwoord in de meeste organisaties dat er wel een architect is maar geen bevoegdheid. Dat is precies de situatie die deel 9 behandelt, en het is nuttig dat deelnemers die vraag met een concreet voorbeeld naar dat deel meenemen.</w:t>
            </w:r>
          </w:p>
        </w:tc>
      </w:tr>
    </w:tbl>
    <w:p>
      <w:pPr>
        <w:spacing w:after="300"/>
      </w:pPr>
    </w:p>
    <w:p>
      <w:pPr>
        <w:pStyle w:val="Heading1"/>
        <w:pBdr>
          <w:bottom w:val="single" w:color="E5E7EB" w:sz="6" w:space="6"/>
        </w:pBdr>
        <w:spacing w:after="180" w:before="380"/>
      </w:pPr>
      <w:r>
        <w:rPr>
          <w:b/>
          <w:bCs/>
          <w:color w:val="1F3A5F"/>
          <w:sz w:val="30"/>
          <w:szCs w:val="30"/>
        </w:rPr>
        <w:t xml:space="preserve">Opdracht 8.7 — Capstonedossier bijwerken (individueel, 20 minuten)</w:t>
      </w:r>
    </w:p>
    <w:p>
      <w:pPr>
        <w:pStyle w:val="ListParagraph"/>
        <w:numPr>
          <w:ilvl w:val="0"/>
          <w:numId w:val="2"/>
        </w:numPr>
        <w:spacing w:after="100"/>
      </w:pPr>
      <w:r>
        <w:rPr>
          <w:b/>
          <w:bCs/>
          <w:color w:val="1F2937"/>
          <w:sz w:val="22"/>
          <w:szCs w:val="22"/>
        </w:rPr>
        <w:t xml:space="preserve">a)</w:t>
      </w:r>
      <w:r>
        <w:rPr>
          <w:color w:val="1F2937"/>
          <w:sz w:val="22"/>
          <w:szCs w:val="22"/>
        </w:rPr>
        <w:t xml:space="preserve"> Vul B7 in bij "mijn maatregel". Uw maatregel moet naast de vastlegging ook de handhaving en de eigenaar bevatten — zonder die twee is B7 niet gesloten.</w:t>
      </w:r>
    </w:p>
    <w:p>
      <w:pPr>
        <w:pStyle w:val="ListParagraph"/>
        <w:numPr>
          <w:ilvl w:val="0"/>
          <w:numId w:val="2"/>
        </w:numPr>
        <w:spacing w:after="100"/>
      </w:pPr>
      <w:r>
        <w:rPr>
          <w:b/>
          <w:bCs/>
          <w:color w:val="1F2937"/>
          <w:sz w:val="22"/>
          <w:szCs w:val="22"/>
        </w:rPr>
        <w:t xml:space="preserve">b)</w:t>
      </w:r>
      <w:r>
        <w:rPr>
          <w:color w:val="1F2937"/>
          <w:sz w:val="22"/>
          <w:szCs w:val="22"/>
        </w:rPr>
        <w:t xml:space="preserve"> Voeg uw arc42 hoofdstuk 8 toe: minimaal het foutafhandelings-, logging- en datumconcept, elk op maximaal één pagina.</w:t>
      </w:r>
    </w:p>
    <w:p>
      <w:pPr>
        <w:pStyle w:val="ListParagraph"/>
        <w:numPr>
          <w:ilvl w:val="0"/>
          <w:numId w:val="2"/>
        </w:numPr>
        <w:spacing w:after="100"/>
      </w:pPr>
      <w:r>
        <w:rPr>
          <w:b/>
          <w:bCs/>
          <w:color w:val="1F2937"/>
          <w:sz w:val="22"/>
          <w:szCs w:val="22"/>
        </w:rPr>
        <w:t xml:space="preserve">c)</w:t>
      </w:r>
      <w:r>
        <w:rPr>
          <w:color w:val="1F2937"/>
          <w:sz w:val="22"/>
          <w:szCs w:val="22"/>
        </w:rPr>
        <w:t xml:space="preserve"> Terugblik. Alle zeven bevindingen zijn nu geadresseerd. Loop uw register door en markeer voor elke bevinding of uw maatregel (1) vastgelegd is, (2) gehandhaafd wordt, en (3) een eigenaar heeft. Bij hoeveel van de zeven staan alle drie de vinkjes?</w:t>
      </w:r>
    </w:p>
    <w:p>
      <w:pPr>
        <w:spacing w:after="160" w:line="276"/>
      </w:pPr>
      <w:r>
        <w:rPr>
          <w:color w:val="1F2937"/>
          <w:sz w:val="22"/>
          <w:szCs w:val="22"/>
        </w:rPr>
        <w:t xml:space="preserve">Onderdeel c) is de voorbereiding op deel 9 en 10 en het is de vraag waarop uw capstoneverdediging staat of valt.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8.7</w:t>
            </w:r>
          </w:p>
          <w:p>
            <w:pPr>
              <w:spacing w:after="80"/>
            </w:pPr>
          </w:p>
          <w:p>
            <w:pPr>
              <w:spacing w:after="120" w:line="276"/>
            </w:pPr>
            <w:r>
              <w:rPr>
                <w:b/>
                <w:bCs/>
                <w:color w:val="1F2937"/>
                <w:sz w:val="21"/>
                <w:szCs w:val="21"/>
              </w:rPr>
              <w:t xml:space="preserve">a) </w:t>
            </w:r>
            <w:r>
              <w:rPr>
                <w:color w:val="1F2937"/>
                <w:sz w:val="21"/>
                <w:szCs w:val="21"/>
              </w:rPr>
              <w:t xml:space="preserve">B7 sluit met drie elementen: vastlegging (arc42 hoofdstuk 8), handhaving (bij voorkeur onvermijdelijk of controleerbaar), en een toegewezen eigenaar. Wie alleen vastlegging noemt, herhaalt de fout: in Mutatie 1.0 stond er ook wel iets in een wiki.</w:t>
            </w:r>
          </w:p>
          <w:p>
            <w:pPr>
              <w:spacing w:after="80"/>
            </w:pPr>
          </w:p>
          <w:p>
            <w:pPr>
              <w:spacing w:after="120" w:line="276"/>
            </w:pPr>
            <w:r>
              <w:rPr>
                <w:b/>
                <w:bCs/>
                <w:color w:val="1F2937"/>
                <w:sz w:val="21"/>
                <w:szCs w:val="21"/>
              </w:rPr>
              <w:t xml:space="preserve">c) De terugblik. </w:t>
            </w:r>
            <w:r>
              <w:rPr>
                <w:color w:val="1F2937"/>
                <w:sz w:val="21"/>
                <w:szCs w:val="21"/>
              </w:rPr>
              <w:t xml:space="preserve">Dit is de belangrijkste opdracht van het deel en waarschijnlijk de nuttigste van het hele niveau.</w:t>
            </w:r>
          </w:p>
          <w:p>
            <w:pPr>
              <w:spacing w:after="120" w:line="276"/>
            </w:pPr>
            <w:r>
              <w:rPr>
                <w:color w:val="1F2937"/>
                <w:sz w:val="21"/>
                <w:szCs w:val="21"/>
              </w:rPr>
              <w:t xml:space="preserve">Bij de meeste deelnemers staan na deze inventarisatie alle drie de vinkjes bij twee of drie van de zeven bevindingen. Vastlegging is meestal wel geregeld; handhaving vaak niet; een eigenaar bijna nooit.</w:t>
            </w:r>
          </w:p>
          <w:p>
            <w:pPr>
              <w:spacing w:after="120" w:line="276"/>
            </w:pPr>
            <w:r>
              <w:rPr>
                <w:color w:val="1F2937"/>
                <w:sz w:val="21"/>
                <w:szCs w:val="21"/>
              </w:rPr>
              <w:t xml:space="preserve">Dat is geen tekortkoming in uw werk — het is de reden dat deel 9 bestaat. Een maatregel zonder handhaving en zonder eigenaar is een voornemen, en de zeven bevindingen van Mutatie 1.0 zijn stuk voor stuk ontstaan in een omgeving waarin voornemens bestonden. Neem uw lijst mee naar deel 9; daar wordt de vraag beantwoord wie de bevoegdheid heeft om een voornemen tot een afspraak te maken.</w:t>
            </w:r>
          </w:p>
        </w:tc>
      </w:tr>
    </w:tbl>
    <w:p>
      <w:pPr>
        <w:pBdr>
          <w:top w:val="single" w:color="E5E7EB" w:sz="4" w:space="8"/>
        </w:pBdr>
        <w:spacing w:before="400"/>
        <w:jc w:val="center"/>
      </w:pPr>
      <w:r>
        <w:rPr>
          <w:i/>
          <w:iCs/>
          <w:color w:val="6B7280"/>
          <w:sz w:val="17"/>
          <w:szCs w:val="17"/>
        </w:rPr>
        <w:t xml:space="preserve">Ductus B.V. · Cursus Softwarearchitectuur · Niveau 1, deel 8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8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2026-08-17T14:50:05.443Z</dcterms:created>
  <dcterms:modified xsi:type="dcterms:W3CDTF">2026-08-17T14:50:05.445Z</dcterms:modified>
</cp:coreProperties>
</file>

<file path=docProps/custom.xml><?xml version="1.0" encoding="utf-8"?>
<Properties xmlns="http://schemas.openxmlformats.org/officeDocument/2006/custom-properties" xmlns:vt="http://schemas.openxmlformats.org/officeDocument/2006/docPropsVTypes"/>
</file>