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9 — Architectuurevaluatie en kwaliteitsborging</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1 (CPSA-F) · Deel 9 van 10</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Deel 9 heeft twee functies die elkaar versterken:</w:t>
      </w:r>
    </w:p>
    <w:p>
      <w:pPr>
        <w:pStyle w:val="ListParagraph"/>
        <w:numPr>
          <w:ilvl w:val="0"/>
          <w:numId w:val="2"/>
        </w:numPr>
        <w:spacing w:after="120"/>
      </w:pPr>
      <w:r>
        <w:rPr>
          <w:b/>
          <w:bCs/>
          <w:color w:val="1F2937"/>
          <w:sz w:val="22"/>
          <w:szCs w:val="22"/>
        </w:rPr>
        <w:t xml:space="preserve">Het beantwoordt de vraag die deel 8 openliet.</w:t>
      </w:r>
      <w:r>
        <w:rPr>
          <w:color w:val="1F2937"/>
          <w:sz w:val="22"/>
          <w:szCs w:val="22"/>
        </w:rPr>
        <w:t xml:space="preserve"> Deelnemers hebben vastgesteld dat hun maatregelen wel zijn vastgelegd maar zelden gehandhaafd en bijna nooit een eigenaar hebben. Dat is geen toevallige uitkomst — het is bewust zo geregisseerd, en vandaag krijgt het zijn antwoord.</w:t>
      </w:r>
    </w:p>
    <w:p>
      <w:pPr>
        <w:pStyle w:val="ListParagraph"/>
        <w:numPr>
          <w:ilvl w:val="0"/>
          <w:numId w:val="2"/>
        </w:numPr>
        <w:spacing w:after="120"/>
      </w:pPr>
      <w:r>
        <w:rPr>
          <w:b/>
          <w:bCs/>
          <w:color w:val="1F2937"/>
          <w:sz w:val="22"/>
          <w:szCs w:val="22"/>
        </w:rPr>
        <w:t xml:space="preserve">Het is de generale repetitie voor deel 10.</w:t>
      </w:r>
      <w:r>
        <w:rPr>
          <w:color w:val="1F2937"/>
          <w:sz w:val="22"/>
          <w:szCs w:val="22"/>
        </w:rPr>
        <w:t xml:space="preserve"> De evaluatiesessie (opdracht 9.2) is dezelfde vorm als de capstoneverdediging, met één verschil: vandaag mag de presentator niet verdedigen. Dat verschil is didactisch belangrijk — vandaag verzamelt hij bevindingen die hij volgende week moet kunnen pareren.</w:t>
      </w:r>
    </w:p>
    <w:p>
      <w:pPr>
        <w:spacing w:after="160" w:line="276"/>
      </w:pPr>
      <w:r>
        <w:rPr>
          <w:b/>
          <w:bCs/>
          <w:color w:val="1F2937"/>
          <w:sz w:val="22"/>
          <w:szCs w:val="22"/>
        </w:rPr>
        <w:t xml:space="preserve">De belangrijkste inhoudelijke boodschap</w:t>
      </w:r>
      <w:r>
        <w:rPr>
          <w:color w:val="1F2937"/>
          <w:sz w:val="22"/>
          <w:szCs w:val="22"/>
        </w:rPr>
        <w:t xml:space="preserve"> is niet ATAM maar de drie borgingslagen, en specifiek het inzicht dat een bouwstraatcontrole sterker is dan elk mandaat. Deelnemers komen dit deel binnen met de vraag "hoe krijg ik meer bevoegdheid"; zij zouden eruit moeten komen met de vraag "welk kader kan ik naar een sterkere borgingslaag verplaatsen". Dat is een productievere vraag en meestal ook de beantwoordbare.</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300"/>
            <w:tcMar>
              <w:top w:type="dxa" w:w="100"/>
              <w:left w:type="dxa" w:w="120"/>
              <w:bottom w:type="dxa" w:w="100"/>
              <w:right w:type="dxa" w:w="120"/>
            </w:tcMar>
            <w:vAlign w:val="center"/>
          </w:tcPr>
          <w:p>
            <w:r>
              <w:rPr>
                <w:b w:val="false"/>
                <w:bCs w:val="false"/>
                <w:color w:val="1F2937"/>
                <w:sz w:val="19"/>
                <w:szCs w:val="19"/>
              </w:rPr>
              <w:t xml:space="preserve">De drie vinkjes uit 8.7c ophalen; de openstaande vraag</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0:10–0:30</w:t>
            </w:r>
          </w:p>
        </w:tc>
        <w:tc>
          <w:tcPr>
            <w:tcW w:type="dxa" w:w="4300"/>
            <w:tcMar>
              <w:top w:type="dxa" w:w="100"/>
              <w:left w:type="dxa" w:w="120"/>
              <w:bottom w:type="dxa" w:w="100"/>
              <w:right w:type="dxa" w:w="120"/>
            </w:tcMar>
            <w:vAlign w:val="center"/>
          </w:tcPr>
          <w:p>
            <w:r>
              <w:rPr>
                <w:b w:val="false"/>
                <w:bCs w:val="false"/>
                <w:color w:val="1F2937"/>
                <w:sz w:val="19"/>
                <w:szCs w:val="19"/>
              </w:rPr>
              <w:t xml:space="preserve">Waarom evalueren; ATAM in acht stappen; de vier uitkomstsoorten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4–10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0:30–0:50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9.1 — classificeren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0:50–1:00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1:00–1:15</w:t>
            </w:r>
          </w:p>
        </w:tc>
        <w:tc>
          <w:tcPr>
            <w:tcW w:type="dxa" w:w="4300"/>
            <w:tcMar>
              <w:top w:type="dxa" w:w="100"/>
              <w:left w:type="dxa" w:w="120"/>
              <w:bottom w:type="dxa" w:w="100"/>
              <w:right w:type="dxa" w:w="120"/>
            </w:tcMar>
            <w:vAlign w:val="center"/>
          </w:tcPr>
          <w:p>
            <w:r>
              <w:rPr>
                <w:b w:val="false"/>
                <w:bCs w:val="false"/>
                <w:color w:val="1F2937"/>
                <w:sz w:val="19"/>
                <w:szCs w:val="19"/>
              </w:rPr>
              <w:t xml:space="preserve">De lichte variant; de scenario's die het team niet bedenkt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12–15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1:15–2:15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9.2 — de evaluatiesessie</w:t>
            </w:r>
          </w:p>
        </w:tc>
        <w:tc>
          <w:tcPr>
            <w:tcW w:type="dxa" w:w="2300"/>
            <w:tcMar>
              <w:top w:type="dxa" w:w="100"/>
              <w:left w:type="dxa" w:w="120"/>
              <w:bottom w:type="dxa" w:w="100"/>
              <w:right w:type="dxa" w:w="120"/>
            </w:tcMar>
            <w:vAlign w:val="center"/>
          </w:tcPr>
          <w:p>
            <w:r>
              <w:rPr>
                <w:b w:val="false"/>
                <w:bCs w:val="false"/>
                <w:color w:val="1F2937"/>
                <w:sz w:val="19"/>
                <w:szCs w:val="19"/>
              </w:rPr>
              <w:t xml:space="preserve">hele groep</w:t>
            </w:r>
          </w:p>
        </w:tc>
        <w:tc>
          <w:tcPr>
            <w:tcW w:type="dxa" w:w="1538"/>
            <w:tcMar>
              <w:top w:type="dxa" w:w="100"/>
              <w:left w:type="dxa" w:w="120"/>
              <w:bottom w:type="dxa" w:w="100"/>
              <w:right w:type="dxa" w:w="120"/>
            </w:tcMar>
            <w:vAlign w:val="center"/>
          </w:tcPr>
          <w:p>
            <w:r>
              <w:rPr>
                <w:b w:val="false"/>
                <w:bCs w:val="false"/>
                <w:color w:val="1F2937"/>
                <w:sz w:val="19"/>
                <w:szCs w:val="19"/>
              </w:rPr>
              <w:t xml:space="preserve">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2:15–2:25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2:25–2:35</w:t>
            </w:r>
          </w:p>
        </w:tc>
        <w:tc>
          <w:tcPr>
            <w:tcW w:type="dxa" w:w="4300"/>
            <w:tcMar>
              <w:top w:type="dxa" w:w="100"/>
              <w:left w:type="dxa" w:w="120"/>
              <w:bottom w:type="dxa" w:w="100"/>
              <w:right w:type="dxa" w:w="120"/>
            </w:tcMar>
            <w:vAlign w:val="center"/>
          </w:tcPr>
          <w:p>
            <w:r>
              <w:rPr>
                <w:b w:val="false"/>
                <w:bCs w:val="false"/>
                <w:color w:val="1F2937"/>
                <w:sz w:val="19"/>
                <w:szCs w:val="19"/>
              </w:rPr>
              <w:t xml:space="preserve">Kwantitatief toetsen en de grenzen van metrieken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17–19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2:35–2:55</w:t>
            </w:r>
          </w:p>
        </w:tc>
        <w:tc>
          <w:tcPr>
            <w:tcW w:type="dxa" w:w="4300"/>
            <w:tcMar>
              <w:top w:type="dxa" w:w="100"/>
              <w:left w:type="dxa" w:w="120"/>
              <w:bottom w:type="dxa" w:w="100"/>
              <w:right w:type="dxa" w:w="120"/>
            </w:tcMar>
            <w:vAlign w:val="center"/>
          </w:tcPr>
          <w:p>
            <w:r>
              <w:rPr>
                <w:b w:val="false"/>
                <w:bCs w:val="false"/>
                <w:color w:val="1F2937"/>
                <w:sz w:val="19"/>
                <w:szCs w:val="19"/>
              </w:rPr>
              <w:t xml:space="preserve">Borgen: het spanningsveld, de drie lagen, het gremium</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20–24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2:55–3:25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9.3 — het borgingsmodel</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25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3:25–3:50</w:t>
            </w:r>
          </w:p>
        </w:tc>
        <w:tc>
          <w:tcPr>
            <w:tcW w:type="dxa" w:w="4300"/>
            <w:tcMar>
              <w:top w:type="dxa" w:w="100"/>
              <w:left w:type="dxa" w:w="120"/>
              <w:bottom w:type="dxa" w:w="100"/>
              <w:right w:type="dxa" w:w="120"/>
            </w:tcMar>
            <w:vAlign w:val="center"/>
          </w:tcPr>
          <w:p>
            <w:r>
              <w:rPr>
                <w:b w:val="false"/>
                <w:bCs w:val="false"/>
                <w:color w:val="1F2937"/>
                <w:sz w:val="19"/>
                <w:szCs w:val="19"/>
              </w:rPr>
              <w:t xml:space="preserve">Ontwerpfout of gerealiseerd risico</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26–29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300"/>
            <w:tcMar>
              <w:top w:type="dxa" w:w="100"/>
              <w:left w:type="dxa" w:w="120"/>
              <w:bottom w:type="dxa" w:w="100"/>
              <w:right w:type="dxa" w:w="120"/>
            </w:tcMar>
            <w:vAlign w:val="center"/>
          </w:tcPr>
          <w:p>
            <w:r>
              <w:rPr>
                <w:b w:val="false"/>
                <w:bCs w:val="false"/>
                <w:color w:val="1F2937"/>
                <w:sz w:val="19"/>
                <w:szCs w:val="19"/>
              </w:rPr>
              <w:t xml:space="preserve">Naar de verdediging; huiswerk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30</w:t>
            </w:r>
          </w:p>
        </w:tc>
      </w:tr>
    </w:tbl>
    <w:p>
      <w:pPr>
        <w:spacing w:after="300"/>
      </w:pPr>
    </w:p>
    <w:p>
      <w:pPr>
        <w:spacing w:after="160" w:line="276"/>
      </w:pPr>
      <w:r>
        <w:rPr>
          <w:b/>
          <w:bCs/>
          <w:color w:val="1F2937"/>
          <w:sz w:val="22"/>
          <w:szCs w:val="22"/>
        </w:rPr>
        <w:t xml:space="preserve">Opdracht 9.4 (ontwerpfout of gerealiseerd risico) staat niet als opdracht in de planning</w:t>
      </w:r>
      <w:r>
        <w:rPr>
          <w:color w:val="1F2937"/>
          <w:sz w:val="22"/>
          <w:szCs w:val="22"/>
        </w:rPr>
        <w:t xml:space="preserve"> en wordt plenair behandeld. Bij 4,5 uur doet u hem als duo-opdracht van 25 minuten; dat is aanzienlijk sterker, want de gevallen zijn genuanceerd en het gesprek erover is de leerwinst.</w:t>
      </w:r>
    </w:p>
    <w:p>
      <w:pPr>
        <w:spacing w:after="160" w:line="276"/>
      </w:pPr>
      <w:r>
        <w:rPr>
          <w:b/>
          <w:bCs/>
          <w:color w:val="1F2937"/>
          <w:sz w:val="22"/>
          <w:szCs w:val="22"/>
        </w:rPr>
        <w:t xml:space="preserve">Wat u nooit inkort: </w:t>
      </w:r>
      <w:r>
        <w:rPr>
          <w:color w:val="1F2937"/>
          <w:sz w:val="22"/>
          <w:szCs w:val="22"/>
        </w:rPr>
        <w:t xml:space="preserve">opdracht 9.2. Een uur is het minimum, en het is de belangrijkste voorbereiding op deel 10.</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Opening (slides 2–3)</w:t>
      </w:r>
    </w:p>
    <w:p>
      <w:pPr>
        <w:spacing w:after="160" w:line="276"/>
      </w:pPr>
      <w:r>
        <w:rPr>
          <w:b/>
          <w:bCs/>
          <w:color w:val="1F2937"/>
          <w:sz w:val="22"/>
          <w:szCs w:val="22"/>
        </w:rPr>
        <w:t xml:space="preserve">Begin met een handopsteking: </w:t>
      </w:r>
      <w:r>
        <w:rPr>
          <w:color w:val="1F2937"/>
          <w:sz w:val="22"/>
          <w:szCs w:val="22"/>
        </w:rPr>
        <w:t xml:space="preserve">bij hoeveel van de zeven bevindingen stonden alle drie de vinkjes? Vraag om aantallen. Het resultaat clustert rond twee of drie, en dat is precies wat u nodig hebt.</w:t>
      </w:r>
    </w:p>
    <w:p>
      <w:pPr>
        <w:spacing w:after="160" w:line="276"/>
      </w:pPr>
      <w:r>
        <w:rPr>
          <w:b/>
          <w:bCs/>
          <w:color w:val="1F2937"/>
          <w:sz w:val="22"/>
          <w:szCs w:val="22"/>
        </w:rPr>
        <w:t xml:space="preserve">Zeg er meteen bij dat dit geen tekortkoming is</w:t>
      </w:r>
      <w:r>
        <w:rPr>
          <w:color w:val="1F2937"/>
          <w:sz w:val="22"/>
          <w:szCs w:val="22"/>
        </w:rPr>
        <w:t xml:space="preserve"> maar het patroon waarmee Mutatie 1.0 vastliep. Deelnemers die denken dat zij hun werk slecht hebben gedaan, leren minder dan deelnemers die zien dat zij een structureel probleem hebben blootgelegd.</w:t>
      </w:r>
    </w:p>
    <w:p>
      <w:pPr>
        <w:pStyle w:val="Heading2"/>
        <w:spacing w:after="140" w:before="260"/>
      </w:pPr>
      <w:r>
        <w:rPr>
          <w:b/>
          <w:bCs/>
          <w:color w:val="4A6789"/>
          <w:sz w:val="24"/>
          <w:szCs w:val="24"/>
        </w:rPr>
        <w:t xml:space="preserve">3.2 Evalueren en de vier uitkomstsoorten (slides 4–11)</w:t>
      </w:r>
    </w:p>
    <w:p>
      <w:pPr>
        <w:spacing w:after="160" w:line="276"/>
      </w:pPr>
      <w:r>
        <w:rPr>
          <w:b/>
          <w:bCs/>
          <w:color w:val="1F2937"/>
          <w:sz w:val="22"/>
          <w:szCs w:val="22"/>
        </w:rPr>
        <w:t xml:space="preserve">ATAM kort houden.</w:t>
      </w:r>
      <w:r>
        <w:rPr>
          <w:color w:val="1F2937"/>
          <w:sz w:val="22"/>
          <w:szCs w:val="22"/>
        </w:rPr>
        <w:t xml:space="preserve"> De acht stappen zijn examenrelevant en verder weinig interessant; de vier uitkomstsoorten zijn het bruikbare deel.</w:t>
      </w:r>
    </w:p>
    <w:p>
      <w:pPr>
        <w:spacing w:after="160" w:line="276"/>
      </w:pPr>
      <w:r>
        <w:rPr>
          <w:b/>
          <w:bCs/>
          <w:color w:val="1F2937"/>
          <w:sz w:val="22"/>
          <w:szCs w:val="22"/>
        </w:rPr>
        <w:t xml:space="preserve">Slide 6 (wat het niet oplevert) niet overslaan.</w:t>
      </w:r>
      <w:r>
        <w:rPr>
          <w:color w:val="1F2937"/>
          <w:sz w:val="22"/>
          <w:szCs w:val="22"/>
        </w:rPr>
        <w:t xml:space="preserve"> Deelnemers die evaluatie als goedkeuringsinstrument opvatten, zullen het in hun organisatie zo verkopen, en dan is de eerste tegenvaller het einde van de praktijk.</w:t>
      </w:r>
    </w:p>
    <w:p>
      <w:pPr>
        <w:spacing w:after="160" w:line="276"/>
      </w:pPr>
      <w:r>
        <w:rPr>
          <w:b/>
          <w:bCs/>
          <w:color w:val="1F2937"/>
          <w:sz w:val="22"/>
          <w:szCs w:val="22"/>
        </w:rPr>
        <w:t xml:space="preserve">Slide 9 is de kernzin van dit blok: </w:t>
      </w:r>
      <w:r>
        <w:rPr>
          <w:color w:val="1F2937"/>
          <w:sz w:val="22"/>
          <w:szCs w:val="22"/>
        </w:rPr>
        <w:t xml:space="preserve">een niet-risico met vastgelegde herzieningsgrens is beheerst, zonder is het een tijdbom met een goed rapport. Dit verbindt drie eerdere delen — de trade-offvorm uit deel 2, de ADR uit deel 7, en de distributiekeuze uit deel 5. Wijs die verbinding aan.</w:t>
      </w:r>
    </w:p>
    <w:p>
      <w:pPr>
        <w:spacing w:after="160" w:line="276"/>
      </w:pPr>
      <w:r>
        <w:rPr>
          <w:b/>
          <w:bCs/>
          <w:color w:val="1F2937"/>
          <w:sz w:val="22"/>
          <w:szCs w:val="22"/>
        </w:rPr>
        <w:t xml:space="preserve">Opdracht 9.1: </w:t>
      </w:r>
      <w:r>
        <w:rPr>
          <w:color w:val="1F2937"/>
          <w:sz w:val="22"/>
          <w:szCs w:val="22"/>
        </w:rPr>
        <w:t xml:space="preserve">12 minuten individueel, 8 plenair. Bespreek 2, 5, 8 en 10.</w:t>
      </w:r>
    </w:p>
    <w:p>
      <w:pPr>
        <w:pStyle w:val="ListParagraph"/>
        <w:numPr>
          <w:ilvl w:val="0"/>
          <w:numId w:val="3"/>
        </w:numPr>
        <w:spacing w:after="100"/>
      </w:pPr>
      <w:r>
        <w:rPr>
          <w:b/>
          <w:bCs/>
          <w:color w:val="1F2937"/>
          <w:sz w:val="22"/>
          <w:szCs w:val="22"/>
        </w:rPr>
        <w:t xml:space="preserve">2 en 8</w:t>
      </w:r>
      <w:r>
        <w:rPr>
          <w:color w:val="1F2937"/>
          <w:sz w:val="22"/>
          <w:szCs w:val="22"/>
        </w:rPr>
        <w:t xml:space="preserve"> samen laten het patroon zien: nummer 2 is een niet-risico dat volledig op een aanname rust, nummer 8 is er een die op een mechanisme rust. Het tweede is robuuster, en dat verschil is de hele borgingsboodschap in één vergelijking.</w:t>
      </w:r>
    </w:p>
    <w:p>
      <w:pPr>
        <w:pStyle w:val="ListParagraph"/>
        <w:numPr>
          <w:ilvl w:val="0"/>
          <w:numId w:val="3"/>
        </w:numPr>
        <w:spacing w:after="100"/>
      </w:pPr>
      <w:r>
        <w:rPr>
          <w:b/>
          <w:bCs/>
          <w:color w:val="1F2937"/>
          <w:sz w:val="22"/>
          <w:szCs w:val="22"/>
        </w:rPr>
        <w:t xml:space="preserve">5</w:t>
      </w:r>
      <w:r>
        <w:rPr>
          <w:color w:val="1F2937"/>
          <w:sz w:val="22"/>
          <w:szCs w:val="22"/>
        </w:rPr>
        <w:t xml:space="preserve"> (het datumconcept) is het zwaarste concept met de zwakste borging — dat blijft de kwetsbaarste plek van het hele ontwerp en het is eerlijk om dat te benoemen.</w:t>
      </w:r>
    </w:p>
    <w:p>
      <w:pPr>
        <w:pStyle w:val="ListParagraph"/>
        <w:numPr>
          <w:ilvl w:val="0"/>
          <w:numId w:val="3"/>
        </w:numPr>
        <w:spacing w:after="100"/>
      </w:pPr>
      <w:r>
        <w:rPr>
          <w:b/>
          <w:bCs/>
          <w:color w:val="1F2937"/>
          <w:sz w:val="22"/>
          <w:szCs w:val="22"/>
        </w:rPr>
        <w:t xml:space="preserve">10</w:t>
      </w:r>
      <w:r>
        <w:rPr>
          <w:color w:val="1F2937"/>
          <w:sz w:val="22"/>
          <w:szCs w:val="22"/>
        </w:rPr>
        <w:t xml:space="preserve"> herhaalt de aanname-die-randvoorwaarde-lijkt uit deel 2. Deelnemers die dit als niet-risico scoren, zijn negen weken later dezelfde val ingelopen. Benoem het vriendelijk.</w:t>
      </w:r>
    </w:p>
    <w:p>
      <w:pPr>
        <w:pStyle w:val="Heading2"/>
        <w:spacing w:after="140" w:before="260"/>
      </w:pPr>
      <w:r>
        <w:rPr>
          <w:b/>
          <w:bCs/>
          <w:color w:val="4A6789"/>
          <w:sz w:val="24"/>
          <w:szCs w:val="24"/>
        </w:rPr>
        <w:t xml:space="preserve">3.3 Opdracht 9.2 — de evaluatiesessie (60 minuten)</w:t>
      </w:r>
    </w:p>
    <w:p>
      <w:pPr>
        <w:spacing w:after="160" w:line="276"/>
      </w:pPr>
      <w:r>
        <w:rPr>
          <w:b/>
          <w:bCs/>
          <w:color w:val="1F2937"/>
          <w:sz w:val="22"/>
          <w:szCs w:val="22"/>
        </w:rPr>
        <w:t xml:space="preserve">Dit is het zwaartepunt van het dagdeel.</w:t>
      </w:r>
      <w:r>
        <w:rPr>
          <w:color w:val="1F2937"/>
          <w:sz w:val="22"/>
          <w:szCs w:val="22"/>
        </w:rPr>
        <w:t xml:space="preserve"/>
      </w:r>
    </w:p>
    <w:p>
      <w:pPr>
        <w:spacing w:after="160" w:line="276"/>
      </w:pPr>
      <w:r>
        <w:rPr>
          <w:b/>
          <w:bCs/>
          <w:color w:val="1F2937"/>
          <w:sz w:val="22"/>
          <w:szCs w:val="22"/>
        </w:rPr>
        <w:t xml:space="preserve">Voorbereiding. </w:t>
      </w:r>
      <w:r>
        <w:rPr>
          <w:color w:val="1F2937"/>
          <w:sz w:val="22"/>
          <w:szCs w:val="22"/>
        </w:rPr>
        <w:t xml:space="preserve">Kies één groep die presenteert — bij voorkeur een groep met een stevig maar niet perfect ontwerp. Een te goed ontwerp levert een saaie sessie; een te zwak ontwerp maakt de presentator onzeker vlak voor deel 10. Deel de rolkaarten uit bijlage W uit; zorg dat beheer, compliance en de mutatiebehandelaar in elk geval bezet zijn — die drie leveren de meeste scenario's.</w:t>
      </w:r>
    </w:p>
    <w:p>
      <w:pPr>
        <w:spacing w:after="160" w:line="276"/>
      </w:pPr>
      <w:r>
        <w:rPr>
          <w:b/>
          <w:bCs/>
          <w:color w:val="1F2937"/>
          <w:sz w:val="22"/>
          <w:szCs w:val="22"/>
        </w:rPr>
        <w:t xml:space="preserve">Bewaak de regel dat de presentator in stap 3 niet verdedigt.</w:t>
      </w:r>
      <w:r>
        <w:rPr>
          <w:color w:val="1F2937"/>
          <w:sz w:val="22"/>
          <w:szCs w:val="22"/>
        </w:rPr>
        <w:t xml:space="preserve"> Dat is moeilijk en u zult moeten ingrijpen. De formulering die werkt: "noteer het, en pareer het volgende week — vandaag verzamelen we." Het effect is dat de sessie twee keer zoveel scenario's oplevert, want zodra de presentator gaat verdedigen, stopt de groep met aandragen.</w:t>
      </w:r>
    </w:p>
    <w:p>
      <w:pPr>
        <w:spacing w:after="160" w:line="276"/>
      </w:pPr>
      <w:r>
        <w:rPr>
          <w:b/>
          <w:bCs/>
          <w:color w:val="1F2937"/>
          <w:sz w:val="22"/>
          <w:szCs w:val="22"/>
        </w:rPr>
        <w:t xml:space="preserve">Bewaak stap 4.</w:t>
      </w:r>
      <w:r>
        <w:rPr>
          <w:color w:val="1F2937"/>
          <w:sz w:val="22"/>
          <w:szCs w:val="22"/>
        </w:rPr>
        <w:t xml:space="preserve"> Groepen willen na 45 minuten stoppen met een lijst bevindingen. Zonder eigenaar en termijn is dat een goed gesprek en geen evaluatie. Dwing de laatste vijftien minuten af.</w:t>
      </w:r>
    </w:p>
    <w:p>
      <w:pPr>
        <w:spacing w:after="160" w:line="276"/>
      </w:pPr>
      <w:r>
        <w:rPr>
          <w:b/>
          <w:bCs/>
          <w:color w:val="1F2937"/>
          <w:sz w:val="22"/>
          <w:szCs w:val="22"/>
        </w:rPr>
        <w:t xml:space="preserve">Het AVG-scenario.</w:t>
      </w:r>
      <w:r>
        <w:rPr>
          <w:color w:val="1F2937"/>
          <w:sz w:val="22"/>
          <w:szCs w:val="22"/>
        </w:rPr>
        <w:t xml:space="preserve"> Als compliance het inzage-en-verwijderverzoek inbrengt — en dat gebeurt bij ongeveer de helft van de groepen — laat de discussie lopen. Het botst met de onveranderlijke gebeurtenisopslag uit deel 5, en het goede antwoord is niet dat de opslag alsnog wijzigbaar wordt maar dat bewaarplicht en verwijderrecht juridisch onderscheiden zijn, wat tot een patroon leidt (persoonsgegevens onleesbaar maken met behoud van de gebeurtenisstructuur). Groepen die dat zelf bedenken, hebben ruim niveau.</w:t>
      </w:r>
    </w:p>
    <w:p>
      <w:pPr>
        <w:spacing w:after="160" w:line="276"/>
      </w:pPr>
      <w:r>
        <w:rPr>
          <w:color w:val="1F2937"/>
          <w:sz w:val="22"/>
          <w:szCs w:val="22"/>
        </w:rPr>
        <w:t xml:space="preserve">Brengt niemand het in, breng het dan zelf in — het is het scherpste scenario dat deze casus kent en het komt in niveau 3 terug.</w:t>
      </w:r>
    </w:p>
    <w:p>
      <w:pPr>
        <w:pStyle w:val="Heading2"/>
        <w:spacing w:after="140" w:before="260"/>
      </w:pPr>
      <w:r>
        <w:rPr>
          <w:b/>
          <w:bCs/>
          <w:color w:val="4A6789"/>
          <w:sz w:val="24"/>
          <w:szCs w:val="24"/>
        </w:rPr>
        <w:t xml:space="preserve">3.4 Kwantitatief toetsen (slides 17–19)</w:t>
      </w:r>
    </w:p>
    <w:p>
      <w:pPr>
        <w:spacing w:after="160" w:line="276"/>
      </w:pPr>
      <w:r>
        <w:rPr>
          <w:color w:val="1F2937"/>
          <w:sz w:val="22"/>
          <w:szCs w:val="22"/>
        </w:rPr>
        <w:t xml:space="preserve">Kort, tien minuten.</w:t>
      </w:r>
    </w:p>
    <w:p>
      <w:pPr>
        <w:spacing w:after="160" w:line="276"/>
      </w:pPr>
      <w:r>
        <w:rPr>
          <w:b/>
          <w:bCs/>
          <w:color w:val="1F2937"/>
          <w:sz w:val="22"/>
          <w:szCs w:val="22"/>
        </w:rPr>
        <w:t xml:space="preserve">Slide 19 is het punt: </w:t>
      </w:r>
      <w:r>
        <w:rPr>
          <w:color w:val="1F2937"/>
          <w:sz w:val="22"/>
          <w:szCs w:val="22"/>
        </w:rPr>
        <w:t xml:space="preserve">de vier schadelijkste koppelingen uit deel 3 stonden in geen enkel gegenereerd overzicht. Dit is de derde keer dat dit argument terugkomt (deel 3, deel 6, nu), en dat is opzet — het is het tegengif tegen toolvertrouwen.</w:t>
      </w:r>
    </w:p>
    <w:p>
      <w:pPr>
        <w:pStyle w:val="Heading2"/>
        <w:spacing w:after="140" w:before="260"/>
      </w:pPr>
      <w:r>
        <w:rPr>
          <w:b/>
          <w:bCs/>
          <w:color w:val="4A6789"/>
          <w:sz w:val="24"/>
          <w:szCs w:val="24"/>
        </w:rPr>
        <w:t xml:space="preserve">3.5 Borgen (slides 20–25)</w:t>
      </w:r>
    </w:p>
    <w:p>
      <w:pPr>
        <w:spacing w:after="160" w:line="276"/>
      </w:pPr>
      <w:r>
        <w:rPr>
          <w:b/>
          <w:bCs/>
          <w:color w:val="1F2937"/>
          <w:sz w:val="22"/>
          <w:szCs w:val="22"/>
        </w:rPr>
        <w:t xml:space="preserve">Slide 22 en 23 zijn de kern van het dagdeel.</w:t>
      </w:r>
      <w:r>
        <w:rPr>
          <w:color w:val="1F2937"/>
          <w:sz w:val="22"/>
          <w:szCs w:val="22"/>
        </w:rPr>
        <w:t xml:space="preserve"/>
      </w:r>
    </w:p>
    <w:p>
      <w:pPr>
        <w:spacing w:after="160" w:line="276"/>
      </w:pPr>
      <w:r>
        <w:rPr>
          <w:color w:val="1F2937"/>
          <w:sz w:val="22"/>
          <w:szCs w:val="22"/>
        </w:rPr>
        <w:t xml:space="preserve">De drie borgingslagen zijn dezelfde ordening als in deel 8 (concepten) en deel 5 (modulegrenzen), nu toegepast op governance. Dit is de vierde keer; benoem dat het een terugkerend denkpatroon is.</w:t>
      </w:r>
    </w:p>
    <w:p>
      <w:pPr>
        <w:spacing w:after="160" w:line="276"/>
      </w:pPr>
      <w:r>
        <w:rPr>
          <w:b/>
          <w:bCs/>
          <w:color w:val="1F2937"/>
          <w:sz w:val="22"/>
          <w:szCs w:val="22"/>
        </w:rPr>
        <w:t xml:space="preserve">Slide 23</w:t>
      </w:r>
      <w:r>
        <w:rPr>
          <w:color w:val="1F2937"/>
          <w:sz w:val="22"/>
          <w:szCs w:val="22"/>
        </w:rPr>
        <w:t xml:space="preserve"> — een bouwstraat die faalt, is niet omstreden — is de zin die de mandaatdiscussie kantelt. Deelnemers die worstelen met te weinig bevoegdheid, krijgen hier een werkbaar alternatief: verplaats het kader naar een laag waar bevoegdheid niet nodig is.</w:t>
      </w:r>
    </w:p>
    <w:p>
      <w:pPr>
        <w:spacing w:after="160" w:line="276"/>
      </w:pPr>
      <w:r>
        <w:rPr>
          <w:b/>
          <w:bCs/>
          <w:color w:val="1F2937"/>
          <w:sz w:val="22"/>
          <w:szCs w:val="22"/>
        </w:rPr>
        <w:t xml:space="preserve">Slide 24 (het gremium).</w:t>
      </w:r>
      <w:r>
        <w:rPr>
          <w:color w:val="1F2937"/>
          <w:sz w:val="22"/>
          <w:szCs w:val="22"/>
        </w:rPr>
        <w:t xml:space="preserve"> Het beslissende punt is waarover het niet gaat. Een gremium zonder afgebakend mandaat wordt binnen een half jaar omzeild. Vraag de groep wat er gebeurt als het gremium zich met het ontwerp binnen een module bemoeit — het antwoord komt vanzelf.</w:t>
      </w:r>
    </w:p>
    <w:p>
      <w:pPr>
        <w:spacing w:after="160" w:line="276"/>
      </w:pPr>
      <w:r>
        <w:rPr>
          <w:b/>
          <w:bCs/>
          <w:color w:val="1F2937"/>
          <w:sz w:val="22"/>
          <w:szCs w:val="22"/>
        </w:rPr>
        <w:t xml:space="preserve">Opdracht 9.3, uitvoering (30 min).</w:t>
      </w:r>
      <w:r>
        <w:rPr>
          <w:color w:val="1F2937"/>
          <w:sz w:val="22"/>
          <w:szCs w:val="22"/>
        </w:rPr>
        <w:t xml:space="preserve"> Twee interventies:</w:t>
      </w:r>
    </w:p>
    <w:p>
      <w:pPr>
        <w:pStyle w:val="ListParagraph"/>
        <w:numPr>
          <w:ilvl w:val="0"/>
          <w:numId w:val="4"/>
        </w:numPr>
        <w:spacing w:after="120"/>
      </w:pPr>
      <w:r>
        <w:rPr>
          <w:b/>
          <w:bCs/>
          <w:color w:val="1F2937"/>
          <w:sz w:val="22"/>
          <w:szCs w:val="22"/>
        </w:rPr>
        <w:t xml:space="preserve">Laag 3 is te vol.</w:t>
      </w:r>
      <w:r>
        <w:rPr>
          <w:color w:val="1F2937"/>
          <w:sz w:val="22"/>
          <w:szCs w:val="22"/>
        </w:rPr>
        <w:t xml:space="preserve"> Groepen parkeren alles wat lastig is in "bewaakt door aanwezigheid". Vraag bij elk item: kan dit naar laag 2 als vast agendapunt? Het datumconcept is de belangrijkste kandidaat.</w:t>
      </w:r>
    </w:p>
    <w:p>
      <w:pPr>
        <w:pStyle w:val="ListParagraph"/>
        <w:numPr>
          <w:ilvl w:val="0"/>
          <w:numId w:val="4"/>
        </w:numPr>
        <w:spacing w:after="120"/>
      </w:pPr>
      <w:r>
        <w:rPr>
          <w:b/>
          <w:bCs/>
          <w:color w:val="1F2937"/>
          <w:sz w:val="22"/>
          <w:szCs w:val="22"/>
        </w:rPr>
        <w:t xml:space="preserve">Onderdeel f) wordt als voornemen beantwoord</w:t>
      </w:r>
      <w:r>
        <w:rPr>
          <w:color w:val="1F2937"/>
          <w:sz w:val="22"/>
          <w:szCs w:val="22"/>
        </w:rPr>
        <w:t xml:space="preserve"> ("dan spreken we het team erop aan"). Dat beschrijft laag 3 en dus geen borging. Duw naar een verloop met stappen en termijnen, en let erop dat het model uitzonderingen toestaat — een borgingsmodel dat geen uitzonderingen kent, wordt omzeild in plaats van gevolgd. Dat is een belangrijk en contra-intuïtief punt.</w:t>
      </w:r>
    </w:p>
    <w:p>
      <w:pPr>
        <w:pStyle w:val="Heading2"/>
        <w:spacing w:after="140" w:before="260"/>
      </w:pPr>
      <w:r>
        <w:rPr>
          <w:b/>
          <w:bCs/>
          <w:color w:val="4A6789"/>
          <w:sz w:val="24"/>
          <w:szCs w:val="24"/>
        </w:rPr>
        <w:t xml:space="preserve">3.6 Ontwerpfout of gerealiseerd risico (slides 26–29)</w:t>
      </w:r>
    </w:p>
    <w:p>
      <w:pPr>
        <w:spacing w:after="160" w:line="276"/>
      </w:pPr>
      <w:r>
        <w:rPr>
          <w:b/>
          <w:bCs/>
          <w:color w:val="1F2937"/>
          <w:sz w:val="22"/>
          <w:szCs w:val="22"/>
        </w:rPr>
        <w:t xml:space="preserve">Neem hier de volle 25 minuten,</w:t>
      </w:r>
      <w:r>
        <w:rPr>
          <w:color w:val="1F2937"/>
          <w:sz w:val="22"/>
          <w:szCs w:val="22"/>
        </w:rPr>
        <w:t xml:space="preserve"> ook als u de opdracht niet doet.</w:t>
      </w:r>
    </w:p>
    <w:p>
      <w:pPr>
        <w:spacing w:after="160" w:line="276"/>
      </w:pPr>
      <w:r>
        <w:rPr>
          <w:color w:val="1F2937"/>
          <w:sz w:val="22"/>
          <w:szCs w:val="22"/>
        </w:rPr>
        <w:t xml:space="preserve">Loop de zeven gevallen uit opdracht 9.4 plenair langs, of minstens 1, 3, 4 en 5.</w:t>
      </w:r>
    </w:p>
    <w:p>
      <w:pPr>
        <w:spacing w:after="160" w:line="276"/>
      </w:pPr>
      <w:r>
        <w:rPr>
          <w:b/>
          <w:bCs/>
          <w:color w:val="1F2937"/>
          <w:sz w:val="22"/>
          <w:szCs w:val="22"/>
        </w:rPr>
        <w:t xml:space="preserve">Slide 28 is het scharnier: </w:t>
      </w:r>
      <w:r>
        <w:rPr>
          <w:color w:val="1F2937"/>
          <w:sz w:val="22"/>
          <w:szCs w:val="22"/>
        </w:rPr>
        <w:t xml:space="preserve">het vertrek in maand negen was overmacht, de zes weken stilstand niet. Dit is het schoolvoorbeeld van het onderscheid tussen een risico en zijn impact, en het is de enige plaats in de casus waar het antwoord "overmacht" gedeeltelijk terecht is — en juist daarom leerzaam.</w:t>
      </w:r>
    </w:p>
    <w:p>
      <w:pPr>
        <w:spacing w:after="160" w:line="276"/>
      </w:pPr>
      <w:r>
        <w:rPr>
          <w:b/>
          <w:bCs/>
          <w:color w:val="1F2937"/>
          <w:sz w:val="22"/>
          <w:szCs w:val="22"/>
        </w:rPr>
        <w:t xml:space="preserve">Slide 29</w:t>
      </w:r>
      <w:r>
        <w:rPr>
          <w:color w:val="1F2937"/>
          <w:sz w:val="22"/>
          <w:szCs w:val="22"/>
        </w:rPr>
        <w:t xml:space="preserve"> is een cultuurpunt en het is de opmaat naar niveau 3. Vraag of iemand een organisatie kent waar risico's benoemen tegen je werkt. De antwoorden zijn doorgaans openhartig en het gesprek is waardevol; bewaak wel de tijd, want het is het laatste blok.</w:t>
      </w:r>
    </w:p>
    <w:p>
      <w:pPr>
        <w:pStyle w:val="Heading2"/>
        <w:spacing w:after="140" w:before="260"/>
      </w:pPr>
      <w:r>
        <w:rPr>
          <w:b/>
          <w:bCs/>
          <w:color w:val="4A6789"/>
          <w:sz w:val="24"/>
          <w:szCs w:val="24"/>
        </w:rPr>
        <w:t xml:space="preserve">3.7 Afsluiting (slide 30)</w:t>
      </w:r>
    </w:p>
    <w:p>
      <w:pPr>
        <w:spacing w:after="160" w:line="276"/>
      </w:pPr>
      <w:r>
        <w:rPr>
          <w:b/>
          <w:bCs/>
          <w:color w:val="1F2937"/>
          <w:sz w:val="22"/>
          <w:szCs w:val="22"/>
        </w:rPr>
        <w:t xml:space="preserve">Besteed de laatste tien minuten echt aan het huiswerk.</w:t>
      </w:r>
      <w:r>
        <w:rPr>
          <w:color w:val="1F2937"/>
          <w:sz w:val="22"/>
          <w:szCs w:val="22"/>
        </w:rPr>
        <w:t xml:space="preserve"> Opdracht 9.6 is de afronding van het capstonedossier en bepaalt de kwaliteit van deel 10.</w:t>
      </w:r>
    </w:p>
    <w:p>
      <w:pPr>
        <w:spacing w:after="160" w:line="276"/>
      </w:pPr>
      <w:r>
        <w:rPr>
          <w:b/>
          <w:bCs/>
          <w:color w:val="1F2937"/>
          <w:sz w:val="22"/>
          <w:szCs w:val="22"/>
        </w:rPr>
        <w:t xml:space="preserve">Onderdeel c) (restrisico) uitdrukkelijk aankondigen.</w:t>
      </w:r>
      <w:r>
        <w:rPr>
          <w:color w:val="1F2937"/>
          <w:sz w:val="22"/>
          <w:szCs w:val="22"/>
        </w:rPr>
        <w:t xml:space="preserve"> Een dossier waarin bij elke bevinding "afgedekt" staat zonder restrisico, is in de verdediging het makkelijkst aan te vallen. Zeg dat letterlijk; het is een cadeau aan de deelnemers.</w:t>
      </w:r>
    </w:p>
    <w:p>
      <w:pPr>
        <w:spacing w:after="160" w:line="276"/>
      </w:pPr>
      <w:r>
        <w:rPr>
          <w:b/>
          <w:bCs/>
          <w:color w:val="1F2937"/>
          <w:sz w:val="22"/>
          <w:szCs w:val="22"/>
        </w:rPr>
        <w:t xml:space="preserve">Onderdeel d) (de kernboodschap)</w:t>
      </w:r>
      <w:r>
        <w:rPr>
          <w:color w:val="1F2937"/>
          <w:sz w:val="22"/>
          <w:szCs w:val="22"/>
        </w:rPr>
        <w:t xml:space="preserve"> is de brug naar deel 10. Geef het kalibratievoorbeeld uit de uitwerking: een sterke kernboodschap verwijst naar een drijver of een bevinding, een zwakke is een opsomming van methodenamen.</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"Bij ons is geen tijd voor een evaluatie."</w:t>
      </w:r>
      <w:r>
        <w:rPr>
          <w:color w:val="1F2937"/>
          <w:sz w:val="22"/>
          <w:szCs w:val="22"/>
        </w:rPr>
        <w:t xml:space="preserve"> De lichte variant kost een dagdeel met zes mensen. Zet dat naast de kosten van Mutatie 1.0. Voeg toe dat de grootste opbrengst — gedeeld begrip — ook optreedt als er geen enkel risico wordt gevonden, en dat is bij zes mensen die drie uur samen naar hetzelfde systeem kijken nooit het geval.</w:t>
      </w:r>
    </w:p>
    <w:p>
      <w:pPr>
        <w:spacing w:after="160" w:line="276"/>
      </w:pPr>
      <w:r>
        <w:rPr>
          <w:b/>
          <w:bCs/>
          <w:color w:val="1F2937"/>
          <w:sz w:val="22"/>
          <w:szCs w:val="22"/>
        </w:rPr>
        <w:t xml:space="preserve">"Ons management wil een cijfer."</w:t>
      </w:r>
      <w:r>
        <w:rPr>
          <w:color w:val="1F2937"/>
          <w:sz w:val="22"/>
          <w:szCs w:val="22"/>
        </w:rPr>
        <w:t xml:space="preserve"> Veelvoorkomend en gevaarlijk. Het eerlijke antwoord: u kunt een risicolijst leveren met ernst en eigenaar, en dat is bruikbaarder dan een cijfer omdat er iets mee te doen is. Wie een cijfer levert, krijgt de vraag waarom het geen negen is en verliest de inhoud. In niveau 3 is het vertalen van architectuurbevindingen naar bestuurstaal een heel deel.</w:t>
      </w:r>
    </w:p>
    <w:p>
      <w:pPr>
        <w:spacing w:after="160" w:line="276"/>
      </w:pPr>
      <w:r>
        <w:rPr>
          <w:b/>
          <w:bCs/>
          <w:color w:val="1F2937"/>
          <w:sz w:val="22"/>
          <w:szCs w:val="22"/>
        </w:rPr>
        <w:t xml:space="preserve">Een deelnemer heeft slechte ervaringen met architectuurreviews</w:t>
      </w:r>
      <w:r>
        <w:rPr>
          <w:color w:val="1F2937"/>
          <w:sz w:val="22"/>
          <w:szCs w:val="22"/>
        </w:rPr>
        <w:t xml:space="preserve"> als afrekeninstrument. Neem het serieus; het is precies waarvoor slide 29 waarschuwt. Het onderscheid tussen evalueren (vooraf, om te verbeteren) en auditeren (achteraf, om te verantwoorden) is hier nuttig — het zijn verschillende activiteiten met verschillende doelen, en wie ze door elkaar haalt, krijgt geen van beide.</w:t>
      </w:r>
    </w:p>
    <w:p>
      <w:pPr>
        <w:spacing w:after="160" w:line="276"/>
      </w:pPr>
      <w:r>
        <w:rPr>
          <w:b/>
          <w:bCs/>
          <w:color w:val="1F2937"/>
          <w:sz w:val="22"/>
          <w:szCs w:val="22"/>
        </w:rPr>
        <w:t xml:space="preserve">De groep wil geautomatiseerde toetsing uitdiepen.</w:t>
      </w:r>
      <w:r>
        <w:rPr>
          <w:color w:val="1F2937"/>
          <w:sz w:val="22"/>
          <w:szCs w:val="22"/>
        </w:rPr>
        <w:t xml:space="preserve"> Fitness functions horen in niveau 2 (deel 17). Parkeer, maar geef één zin mee: alles wat u vandaag in laag 1 hebt geplaatst, is in feite een fitness function, en niveau 2 maakt daar een doorlopende praktijk van.</w:t>
      </w:r>
    </w:p>
    <w:p>
      <w:pPr>
        <w:pStyle w:val="Heading1"/>
        <w:pBdr>
          <w:bottom w:val="single" w:color="E5E7EB" w:sz="6" w:space="6"/>
        </w:pBdr>
        <w:spacing w:after="180" w:before="380"/>
      </w:pPr>
      <w:r>
        <w:rPr>
          <w:b/>
          <w:bCs/>
          <w:color w:val="1F3A5F"/>
          <w:sz w:val="30"/>
          <w:szCs w:val="30"/>
        </w:rPr>
        <w:t xml:space="preserve">5. Signalen om mee te nemen naar deel 10</w:t>
      </w:r>
    </w:p>
    <w:p>
      <w:pPr>
        <w:spacing w:after="160" w:line="276"/>
      </w:pPr>
      <w:r>
        <w:rPr>
          <w:color w:val="1F2937"/>
          <w:sz w:val="22"/>
          <w:szCs w:val="22"/>
        </w:rPr>
        <w:t xml:space="preserve">Dit is het laatste deel waarin u de capstones kunt bijsturen. Let op drie dingen en spreek deelnemers individueel aan:</w:t>
      </w:r>
    </w:p>
    <w:p>
      <w:pPr>
        <w:pStyle w:val="ListParagraph"/>
        <w:numPr>
          <w:ilvl w:val="0"/>
          <w:numId w:val="5"/>
        </w:numPr>
        <w:spacing w:after="120"/>
      </w:pPr>
      <w:r>
        <w:rPr>
          <w:b/>
          <w:bCs/>
          <w:color w:val="1F2937"/>
          <w:sz w:val="22"/>
          <w:szCs w:val="22"/>
        </w:rPr>
        <w:t xml:space="preserve">Wie heeft geen restrisico's geformuleerd?</w:t>
      </w:r>
      <w:r>
        <w:rPr>
          <w:color w:val="1F2937"/>
          <w:sz w:val="22"/>
          <w:szCs w:val="22"/>
        </w:rPr>
        <w:t xml:space="preserve"> Wordt in de verdediging het hardst geraakt.</w:t>
      </w:r>
    </w:p>
    <w:p>
      <w:pPr>
        <w:pStyle w:val="ListParagraph"/>
        <w:numPr>
          <w:ilvl w:val="0"/>
          <w:numId w:val="5"/>
        </w:numPr>
        <w:spacing w:after="120"/>
      </w:pPr>
      <w:r>
        <w:rPr>
          <w:b/>
          <w:bCs/>
          <w:color w:val="1F2937"/>
          <w:sz w:val="22"/>
          <w:szCs w:val="22"/>
        </w:rPr>
        <w:t xml:space="preserve">Wie kan de prijs van zijn keuzes alleen in technische termen uitdrukken?</w:t>
      </w:r>
      <w:r>
        <w:rPr>
          <w:color w:val="1F2937"/>
          <w:sz w:val="22"/>
          <w:szCs w:val="22"/>
        </w:rPr>
        <w:t xml:space="preserve"> Dit signaal loopt sinds deel 6; het is nu de laatste kans.</w:t>
      </w:r>
    </w:p>
    <w:p>
      <w:pPr>
        <w:pStyle w:val="ListParagraph"/>
        <w:numPr>
          <w:ilvl w:val="0"/>
          <w:numId w:val="5"/>
        </w:numPr>
        <w:spacing w:after="120"/>
      </w:pPr>
      <w:r>
        <w:rPr>
          <w:b/>
          <w:bCs/>
          <w:color w:val="1F2937"/>
          <w:sz w:val="22"/>
          <w:szCs w:val="22"/>
        </w:rPr>
        <w:t xml:space="preserve">Wie verdedigt zijn keuzes met methodenamen in plaats van drijvers?</w:t>
      </w:r>
      <w:r>
        <w:rPr>
          <w:color w:val="1F2937"/>
          <w:sz w:val="22"/>
          <w:szCs w:val="22"/>
        </w:rPr>
        <w:t xml:space="preserve"> Dit signaal loopt sinds deel 3 en is in de verdediging fataal.</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9</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W: rolkaarten voor de evaluatiesessie (zes rollen)</w:t>
      </w:r>
    </w:p>
    <w:p>
      <w:pPr>
        <w:pStyle w:val="ListParagraph"/>
        <w:numPr>
          <w:ilvl w:val="0"/>
          <w:numId w:val="3"/>
        </w:numPr>
        <w:spacing w:after="100"/>
      </w:pPr>
      <w:r>
        <w:rPr>
          <w:color w:val="1F2937"/>
          <w:sz w:val="22"/>
          <w:szCs w:val="22"/>
        </w:rPr>
        <w:t xml:space="preserve">Bijlage X: bevindingenoverzicht Mutatie 1.0 met per bevinding de datum waarop het probleem voor het eerst vaststelbaar was</w:t>
      </w:r>
    </w:p>
    <w:p>
      <w:pPr>
        <w:pStyle w:val="ListParagraph"/>
        <w:numPr>
          <w:ilvl w:val="0"/>
          <w:numId w:val="3"/>
        </w:numPr>
        <w:spacing w:after="100"/>
      </w:pPr>
      <w:r>
        <w:rPr>
          <w:color w:val="1F2937"/>
          <w:sz w:val="22"/>
          <w:szCs w:val="22"/>
        </w:rPr>
        <w:t xml:space="preserve">Alle capstonedossiers — deelnemers hebben ze vandaag nodig</w:t>
      </w:r>
    </w:p>
    <w:p>
      <w:pPr>
        <w:pStyle w:val="ListParagraph"/>
        <w:numPr>
          <w:ilvl w:val="0"/>
          <w:numId w:val="3"/>
        </w:numPr>
        <w:spacing w:after="100"/>
      </w:pPr>
      <w:r>
        <w:rPr>
          <w:color w:val="1F2937"/>
          <w:sz w:val="22"/>
          <w:szCs w:val="22"/>
        </w:rPr>
        <w:t xml:space="preserve">Een groot vel of digitaal bord voor de bevindingen van opdracht 9.2, in vier kolommen</w:t>
      </w:r>
    </w:p>
    <w:p>
      <w:pPr>
        <w:pStyle w:val="ListParagraph"/>
        <w:numPr>
          <w:ilvl w:val="0"/>
          <w:numId w:val="3"/>
        </w:numPr>
        <w:spacing w:after="100"/>
      </w:pPr>
      <w:r>
        <w:rPr>
          <w:color w:val="1F2937"/>
          <w:sz w:val="22"/>
          <w:szCs w:val="22"/>
        </w:rPr>
        <w:t xml:space="preserve">De C4-diagrammen uit deel 7 van de presenterende groep</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10 bestaat uit twee helften: examentraining CPSA-F en de capstoneverdediging. De brug:</w:t>
      </w:r>
    </w:p>
    <w:p>
      <w:pPr>
        <w:spacing w:after="160" w:line="276"/>
      </w:pPr>
      <w:r>
        <w:rPr>
          <w:i/>
          <w:iCs/>
          <w:color w:val="1F2937"/>
          <w:sz w:val="22"/>
          <w:szCs w:val="22"/>
        </w:rPr>
        <w:t xml:space="preserve">vandaag hebt u bevindingen verzameld en niet verdedigd. Volgende week is dat omgekeerd: u verdedigt uw architectuur voor een panel dat precies deze vragen stelt, plus de vragen die vandaag niet zijn gesteld. Uw dossier is compleet; wat resteert is de vraag of u het kunt uitleggen aan mensen die er niet bij waren.</w:t>
      </w:r>
    </w:p>
    <w:p>
      <w:pPr>
        <w:spacing w:after="160" w:line="276"/>
      </w:pPr>
      <w:r>
        <w:rPr>
          <w:color w:val="1F2937"/>
          <w:sz w:val="22"/>
          <w:szCs w:val="22"/>
        </w:rPr>
        <w:t xml:space="preserve">Kondig ook de examentraining aan, met de praktische informatie over aanmelding en de opzet van het CPSA-F-examen — deelnemers vragen daar vanaf nu naar.</w:t>
      </w:r>
    </w:p>
    <w:p>
      <w:pPr>
        <w:pBdr>
          <w:top w:val="single" w:color="E5E7EB" w:sz="4" w:space="8"/>
        </w:pBdr>
        <w:spacing w:before="400"/>
        <w:jc w:val="center"/>
      </w:pPr>
      <w:r>
        <w:rPr>
          <w:i/>
          <w:iCs/>
          <w:color w:val="6B7280"/>
          <w:sz w:val="17"/>
          <w:szCs w:val="17"/>
        </w:rPr>
        <w:t xml:space="preserve">Ductus B.V. · Cursus Softwarearchitectuur · Niveau 1, deel 9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2026-08-17T14:09:26.100Z</dcterms:created>
  <dcterms:modified xsi:type="dcterms:W3CDTF">2026-08-17T14:09:26.101Z</dcterms:modified>
</cp:coreProperties>
</file>

<file path=docProps/custom.xml><?xml version="1.0" encoding="utf-8"?>
<Properties xmlns="http://schemas.openxmlformats.org/officeDocument/2006/custom-properties" xmlns:vt="http://schemas.openxmlformats.org/officeDocument/2006/docPropsVTypes"/>
</file>