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9 — Architectuurevaluatie en kwaliteitsborging</w:t>
      </w:r>
    </w:p>
    <w:p>
      <w:pPr>
        <w:spacing w:after="200"/>
      </w:pPr>
      <w:r>
        <w:rPr>
          <w:b/>
          <w:bCs/>
          <w:color w:val="4A6789"/>
          <w:sz w:val="26"/>
          <w:szCs w:val="26"/>
        </w:rPr>
        <w:t xml:space="preserve">Werkboek met opdrachten en uitwerkingen</w:t>
      </w:r>
    </w:p>
    <w:p>
      <w:pPr>
        <w:spacing w:after="400"/>
      </w:pPr>
      <w:r>
        <w:rPr>
          <w:color w:val="6B7280"/>
          <w:sz w:val="20"/>
          <w:szCs w:val="20"/>
        </w:rPr>
        <w:t xml:space="preserve">Cursus Softwarearchitectuur · Niveau 1 (CPSA-F) · Deel 9 van 10</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W: rolkaarten voor de evaluatiesessie (beheer, compliance, mutatiebehandelaar, security officer, werkgeversbeheer, product owner)</w:t>
      </w:r>
    </w:p>
    <w:p>
      <w:pPr>
        <w:pStyle w:val="ListParagraph"/>
        <w:numPr>
          <w:ilvl w:val="0"/>
          <w:numId w:val="2"/>
        </w:numPr>
        <w:spacing w:after="100"/>
      </w:pPr>
      <w:r>
        <w:rPr>
          <w:color w:val="1F2937"/>
          <w:sz w:val="22"/>
          <w:szCs w:val="22"/>
        </w:rPr>
        <w:t xml:space="preserve">Bijlage X: het volledige bevindingenoverzicht van de post-mortem Mutatie 1.0, met per bevinding de datum waarop het probleem voor het eerst had kunnen worden vastgesteld</w:t>
      </w:r>
    </w:p>
    <w:p>
      <w:pPr>
        <w:pStyle w:val="ListParagraph"/>
        <w:numPr>
          <w:ilvl w:val="0"/>
          <w:numId w:val="2"/>
        </w:numPr>
        <w:spacing w:after="100"/>
      </w:pPr>
      <w:r>
        <w:rPr>
          <w:color w:val="1F2937"/>
          <w:sz w:val="22"/>
          <w:szCs w:val="22"/>
        </w:rPr>
        <w:t xml:space="preserve">Uw complete capstonedossier tot nu toe: drijvers, indeling, hexagoon, modulith, tactieken, meetplan, arc42-opzet, ADR's, cross-cutting concepten en het ingevulde register uit opdracht 8.7c</w:t>
      </w:r>
    </w:p>
    <w:p>
      <w:pPr>
        <w:pStyle w:val="Heading1"/>
        <w:pBdr>
          <w:bottom w:val="single" w:color="E5E7EB" w:sz="6" w:space="6"/>
        </w:pBdr>
        <w:spacing w:after="180" w:before="380"/>
      </w:pPr>
      <w:r>
        <w:rPr>
          <w:b/>
          <w:bCs/>
          <w:color w:val="1F3A5F"/>
          <w:sz w:val="30"/>
          <w:szCs w:val="30"/>
        </w:rPr>
        <w:t xml:space="preserve">Opdracht 9.1 — De vier uitkomstsoorten toepassen (individueel, 20 minuten)</w:t>
      </w:r>
    </w:p>
    <w:p>
      <w:pPr>
        <w:spacing w:after="160" w:line="276"/>
      </w:pPr>
      <w:r>
        <w:rPr>
          <w:color w:val="1F2937"/>
          <w:sz w:val="22"/>
          <w:szCs w:val="22"/>
        </w:rPr>
        <w:t xml:space="preserve">Classificeer elk van de onderstaande tien bevindingen als risico (R), niet-risico (N), gevoelig punt (G) of trade-offpunt (T). Motiveer in één zin.</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500"/>
        <w:gridCol w:w="9138"/>
      </w:tblGrid>
      <w:tr>
        <w:trPr>
          <w:tblHeader/>
        </w:trPr>
        <w:tc>
          <w:tcPr>
            <w:tcW w:type="dxa" w:w="500"/>
            <w:shd w:fill="1F3A5F" w:val="clear"/>
            <w:tcMar>
              <w:top w:type="dxa" w:w="100"/>
              <w:left w:type="dxa" w:w="120"/>
              <w:bottom w:type="dxa" w:w="100"/>
              <w:right w:type="dxa" w:w="120"/>
            </w:tcMar>
            <w:vAlign w:val="center"/>
          </w:tcPr>
          <w:p>
            <w:r>
              <w:rPr>
                <w:b/>
                <w:bCs/>
                <w:color w:val="FFFFFF"/>
                <w:sz w:val="19"/>
                <w:szCs w:val="19"/>
              </w:rPr>
              <w:t xml:space="preserve">#</w:t>
            </w:r>
          </w:p>
        </w:tc>
        <w:tc>
          <w:tcPr>
            <w:tcW w:type="dxa" w:w="9138"/>
            <w:shd w:fill="1F3A5F" w:val="clear"/>
            <w:tcMar>
              <w:top w:type="dxa" w:w="100"/>
              <w:left w:type="dxa" w:w="120"/>
              <w:bottom w:type="dxa" w:w="100"/>
              <w:right w:type="dxa" w:w="120"/>
            </w:tcMar>
            <w:vAlign w:val="center"/>
          </w:tcPr>
          <w:p>
            <w:r>
              <w:rPr>
                <w:b/>
                <w:bCs/>
                <w:color w:val="FFFFFF"/>
                <w:sz w:val="19"/>
                <w:szCs w:val="19"/>
              </w:rPr>
              <w:t xml:space="preserve">Bevinding over Mutatie 2.0</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w:t>
            </w:r>
          </w:p>
        </w:tc>
        <w:tc>
          <w:tcPr>
            <w:tcW w:type="dxa" w:w="9138"/>
            <w:tcMar>
              <w:top w:type="dxa" w:w="100"/>
              <w:left w:type="dxa" w:w="120"/>
              <w:bottom w:type="dxa" w:w="100"/>
              <w:right w:type="dxa" w:w="120"/>
            </w:tcMar>
            <w:vAlign w:val="center"/>
          </w:tcPr>
          <w:p>
            <w:r>
              <w:rPr>
                <w:b w:val="false"/>
                <w:bCs w:val="false"/>
                <w:color w:val="1F2937"/>
                <w:sz w:val="19"/>
                <w:szCs w:val="19"/>
              </w:rPr>
              <w:t xml:space="preserve">De modulegrenzen worden bewaakt door de architect tijdens code reviews.</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2</w:t>
            </w:r>
          </w:p>
        </w:tc>
        <w:tc>
          <w:tcPr>
            <w:tcW w:type="dxa" w:w="9138"/>
            <w:tcMar>
              <w:top w:type="dxa" w:w="100"/>
              <w:left w:type="dxa" w:w="120"/>
              <w:bottom w:type="dxa" w:w="100"/>
              <w:right w:type="dxa" w:w="120"/>
            </w:tcMar>
            <w:vAlign w:val="center"/>
          </w:tcPr>
          <w:p>
            <w:r>
              <w:rPr>
                <w:b w:val="false"/>
                <w:bCs w:val="false"/>
                <w:color w:val="1F2937"/>
                <w:sz w:val="19"/>
                <w:szCs w:val="19"/>
              </w:rPr>
              <w:t xml:space="preserve">Eén uitrolbare eenheid, bij twee ontwikkelteams zonder groeiplannen.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3</w:t>
            </w:r>
          </w:p>
        </w:tc>
        <w:tc>
          <w:tcPr>
            <w:tcW w:type="dxa" w:w="9138"/>
            <w:tcMar>
              <w:top w:type="dxa" w:w="100"/>
              <w:left w:type="dxa" w:w="120"/>
              <w:bottom w:type="dxa" w:w="100"/>
              <w:right w:type="dxa" w:w="120"/>
            </w:tcMar>
            <w:vAlign w:val="center"/>
          </w:tcPr>
          <w:p>
            <w:r>
              <w:rPr>
                <w:b w:val="false"/>
                <w:bCs w:val="false"/>
                <w:color w:val="1F2937"/>
                <w:sz w:val="19"/>
                <w:szCs w:val="19"/>
              </w:rPr>
              <w:t xml:space="preserve">De geldigheidsduur van het leesmodel staat op vijf minuten.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4</w:t>
            </w:r>
          </w:p>
        </w:tc>
        <w:tc>
          <w:tcPr>
            <w:tcW w:type="dxa" w:w="9138"/>
            <w:tcMar>
              <w:top w:type="dxa" w:w="100"/>
              <w:left w:type="dxa" w:w="120"/>
              <w:bottom w:type="dxa" w:w="100"/>
              <w:right w:type="dxa" w:w="120"/>
            </w:tcMar>
            <w:vAlign w:val="center"/>
          </w:tcPr>
          <w:p>
            <w:r>
              <w:rPr>
                <w:b w:val="false"/>
                <w:bCs w:val="false"/>
                <w:color w:val="1F2937"/>
                <w:sz w:val="19"/>
                <w:szCs w:val="19"/>
              </w:rPr>
              <w:t xml:space="preserve">De bevestiging aan de deelnemer volgt vóór doorgifte aan de kernadministratie.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5</w:t>
            </w:r>
          </w:p>
        </w:tc>
        <w:tc>
          <w:tcPr>
            <w:tcW w:type="dxa" w:w="9138"/>
            <w:tcMar>
              <w:top w:type="dxa" w:w="100"/>
              <w:left w:type="dxa" w:w="120"/>
              <w:bottom w:type="dxa" w:w="100"/>
              <w:right w:type="dxa" w:w="120"/>
            </w:tcMar>
            <w:vAlign w:val="center"/>
          </w:tcPr>
          <w:p>
            <w:r>
              <w:rPr>
                <w:b w:val="false"/>
                <w:bCs w:val="false"/>
                <w:color w:val="1F2937"/>
                <w:sz w:val="19"/>
                <w:szCs w:val="19"/>
              </w:rPr>
              <w:t xml:space="preserve">Welke datum leidend is per berekening, staat in de begrippenlijst en wordt in refinements besproken.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6</w:t>
            </w:r>
          </w:p>
        </w:tc>
        <w:tc>
          <w:tcPr>
            <w:tcW w:type="dxa" w:w="9138"/>
            <w:tcMar>
              <w:top w:type="dxa" w:w="100"/>
              <w:left w:type="dxa" w:w="120"/>
              <w:bottom w:type="dxa" w:w="100"/>
              <w:right w:type="dxa" w:w="120"/>
            </w:tcMar>
            <w:vAlign w:val="center"/>
          </w:tcPr>
          <w:p>
            <w:r>
              <w:rPr>
                <w:b w:val="false"/>
                <w:bCs w:val="false"/>
                <w:color w:val="1F2937"/>
                <w:sz w:val="19"/>
                <w:szCs w:val="19"/>
              </w:rPr>
              <w:t xml:space="preserve">De reglementsparameters per werkgever worden beheerd door de administratie, in een tabel zonder versiehistorie.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7</w:t>
            </w:r>
          </w:p>
        </w:tc>
        <w:tc>
          <w:tcPr>
            <w:tcW w:type="dxa" w:w="9138"/>
            <w:tcMar>
              <w:top w:type="dxa" w:w="100"/>
              <w:left w:type="dxa" w:w="120"/>
              <w:bottom w:type="dxa" w:w="100"/>
              <w:right w:type="dxa" w:w="120"/>
            </w:tcMar>
            <w:vAlign w:val="center"/>
          </w:tcPr>
          <w:p>
            <w:r>
              <w:rPr>
                <w:b w:val="false"/>
                <w:bCs w:val="false"/>
                <w:color w:val="1F2937"/>
                <w:sz w:val="19"/>
                <w:szCs w:val="19"/>
              </w:rPr>
              <w:t xml:space="preserve">De drempel waarbij beheer wordt gewaarschuwd bij uitgestelde doorgifte, staat op 30 minuten.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8</w:t>
            </w:r>
          </w:p>
        </w:tc>
        <w:tc>
          <w:tcPr>
            <w:tcW w:type="dxa" w:w="9138"/>
            <w:tcMar>
              <w:top w:type="dxa" w:w="100"/>
              <w:left w:type="dxa" w:w="120"/>
              <w:bottom w:type="dxa" w:w="100"/>
              <w:right w:type="dxa" w:w="120"/>
            </w:tcMar>
            <w:vAlign w:val="center"/>
          </w:tcPr>
          <w:p>
            <w:r>
              <w:rPr>
                <w:b w:val="false"/>
                <w:bCs w:val="false"/>
                <w:color w:val="1F2937"/>
                <w:sz w:val="19"/>
                <w:szCs w:val="19"/>
              </w:rPr>
              <w:t xml:space="preserve">Het domein leest de peildatum via een poort, afgedwongen door een bouwstraatcontrole.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9</w:t>
            </w:r>
          </w:p>
        </w:tc>
        <w:tc>
          <w:tcPr>
            <w:tcW w:type="dxa" w:w="9138"/>
            <w:tcMar>
              <w:top w:type="dxa" w:w="100"/>
              <w:left w:type="dxa" w:w="120"/>
              <w:bottom w:type="dxa" w:w="100"/>
              <w:right w:type="dxa" w:w="120"/>
            </w:tcMar>
            <w:vAlign w:val="center"/>
          </w:tcPr>
          <w:p>
            <w:r>
              <w:rPr>
                <w:b w:val="false"/>
                <w:bCs w:val="false"/>
                <w:color w:val="1F2937"/>
                <w:sz w:val="19"/>
                <w:szCs w:val="19"/>
              </w:rPr>
              <w:t xml:space="preserve">De gebeurtenisopslag is onveranderlijk en wordt zeven jaar bewaard.</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10</w:t>
            </w:r>
          </w:p>
        </w:tc>
        <w:tc>
          <w:tcPr>
            <w:tcW w:type="dxa" w:w="9138"/>
            <w:tcMar>
              <w:top w:type="dxa" w:w="100"/>
              <w:left w:type="dxa" w:w="120"/>
              <w:bottom w:type="dxa" w:w="100"/>
              <w:right w:type="dxa" w:w="120"/>
            </w:tcMar>
            <w:vAlign w:val="center"/>
          </w:tcPr>
          <w:p>
            <w:r>
              <w:rPr>
                <w:b w:val="false"/>
                <w:bCs w:val="false"/>
                <w:color w:val="1F2937"/>
                <w:sz w:val="19"/>
                <w:szCs w:val="19"/>
              </w:rPr>
              <w:t xml:space="preserve">De werkgeversbatch verwerkt maximaal 4.000 mutaties per nacht; dit is het historisch waargenomen maximum.</w:t>
            </w:r>
          </w:p>
        </w:tc>
      </w:tr>
    </w:tbl>
    <w:p>
      <w:pPr>
        <w:spacing w:after="300"/>
      </w:pPr>
    </w:p>
    <w:p>
      <w:pPr>
        <w:spacing w:after="160" w:line="276"/>
      </w:pPr>
      <w:r>
        <w:rPr>
          <w:b/>
          <w:bCs/>
          <w:color w:val="1F2937"/>
          <w:sz w:val="22"/>
          <w:szCs w:val="22"/>
        </w:rPr>
        <w:t xml:space="preserve">Vervolgvraag: </w:t>
      </w:r>
      <w:r>
        <w:rPr>
          <w:color w:val="1F2937"/>
          <w:sz w:val="22"/>
          <w:szCs w:val="22"/>
        </w:rPr>
        <w:t xml:space="preserve">welke van de niet-risico's verandert in een risico als er iets buiten uw invloed gebeurt? Noem per geval de gebeurtenis.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9.1</w:t>
            </w:r>
          </w:p>
          <w:p>
            <w:pPr>
              <w:spacing w:after="80"/>
            </w:pP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500"/>
              <w:gridCol w:w="1200"/>
              <w:gridCol w:w="7438"/>
            </w:tblGrid>
            <w:tr>
              <w:trPr>
                <w:tblHeader/>
              </w:trPr>
              <w:tc>
                <w:tcPr>
                  <w:tcW w:type="dxa" w:w="500"/>
                  <w:shd w:fill="1F3A5F" w:val="clear"/>
                  <w:tcMar>
                    <w:top w:type="dxa" w:w="100"/>
                    <w:left w:type="dxa" w:w="120"/>
                    <w:bottom w:type="dxa" w:w="100"/>
                    <w:right w:type="dxa" w:w="120"/>
                  </w:tcMar>
                  <w:vAlign w:val="center"/>
                </w:tcPr>
                <w:p>
                  <w:r>
                    <w:rPr>
                      <w:b/>
                      <w:bCs/>
                      <w:color w:val="FFFFFF"/>
                      <w:sz w:val="19"/>
                      <w:szCs w:val="19"/>
                    </w:rPr>
                    <w:t xml:space="preserve">#</w:t>
                  </w:r>
                </w:p>
              </w:tc>
              <w:tc>
                <w:tcPr>
                  <w:tcW w:type="dxa" w:w="1200"/>
                  <w:shd w:fill="1F3A5F" w:val="clear"/>
                  <w:tcMar>
                    <w:top w:type="dxa" w:w="100"/>
                    <w:left w:type="dxa" w:w="120"/>
                    <w:bottom w:type="dxa" w:w="100"/>
                    <w:right w:type="dxa" w:w="120"/>
                  </w:tcMar>
                  <w:vAlign w:val="center"/>
                </w:tcPr>
                <w:p>
                  <w:r>
                    <w:rPr>
                      <w:b/>
                      <w:bCs/>
                      <w:color w:val="FFFFFF"/>
                      <w:sz w:val="19"/>
                      <w:szCs w:val="19"/>
                    </w:rPr>
                    <w:t xml:space="preserve">Soort</w:t>
                  </w:r>
                </w:p>
              </w:tc>
              <w:tc>
                <w:tcPr>
                  <w:tcW w:type="dxa" w:w="7438"/>
                  <w:shd w:fill="1F3A5F" w:val="clear"/>
                  <w:tcMar>
                    <w:top w:type="dxa" w:w="100"/>
                    <w:left w:type="dxa" w:w="120"/>
                    <w:bottom w:type="dxa" w:w="100"/>
                    <w:right w:type="dxa" w:w="120"/>
                  </w:tcMar>
                  <w:vAlign w:val="center"/>
                </w:tcPr>
                <w:p>
                  <w:r>
                    <w:rPr>
                      <w:b/>
                      <w:bCs/>
                      <w:color w:val="FFFFFF"/>
                      <w:sz w:val="19"/>
                      <w:szCs w:val="19"/>
                    </w:rPr>
                    <w:t xml:space="preserve">Toelichting</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w:t>
                  </w:r>
                </w:p>
              </w:tc>
              <w:tc>
                <w:tcPr>
                  <w:tcW w:type="dxa" w:w="1200"/>
                  <w:tcMar>
                    <w:top w:type="dxa" w:w="100"/>
                    <w:left w:type="dxa" w:w="120"/>
                    <w:bottom w:type="dxa" w:w="100"/>
                    <w:right w:type="dxa" w:w="120"/>
                  </w:tcMar>
                  <w:vAlign w:val="center"/>
                </w:tcPr>
                <w:p>
                  <w:r>
                    <w:rPr>
                      <w:b w:val="false"/>
                      <w:bCs w:val="false"/>
                      <w:color w:val="1F2937"/>
                      <w:sz w:val="19"/>
                      <w:szCs w:val="19"/>
                    </w:rPr>
                    <w:t xml:space="preserve">R</w:t>
                  </w:r>
                </w:p>
              </w:tc>
              <w:tc>
                <w:tcPr>
                  <w:tcW w:type="dxa" w:w="7438"/>
                  <w:tcMar>
                    <w:top w:type="dxa" w:w="100"/>
                    <w:left w:type="dxa" w:w="120"/>
                    <w:bottom w:type="dxa" w:w="100"/>
                    <w:right w:type="dxa" w:w="120"/>
                  </w:tcMar>
                  <w:vAlign w:val="center"/>
                </w:tcPr>
                <w:p>
                  <w:r>
                    <w:rPr>
                      <w:b w:val="false"/>
                      <w:bCs w:val="false"/>
                      <w:color w:val="1F2937"/>
                      <w:sz w:val="19"/>
                      <w:szCs w:val="19"/>
                    </w:rPr>
                    <w:t xml:space="preserve">Reviews sneuvelen onder deadlinedruk; dit is handhavingsvorm 4 waar vorm 2 mogelijk is</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2</w:t>
                  </w:r>
                </w:p>
              </w:tc>
              <w:tc>
                <w:tcPr>
                  <w:tcW w:type="dxa" w:w="1200"/>
                  <w:tcMar>
                    <w:top w:type="dxa" w:w="100"/>
                    <w:left w:type="dxa" w:w="120"/>
                    <w:bottom w:type="dxa" w:w="100"/>
                    <w:right w:type="dxa" w:w="120"/>
                  </w:tcMar>
                  <w:vAlign w:val="center"/>
                </w:tcPr>
                <w:p>
                  <w:r>
                    <w:rPr>
                      <w:b w:val="false"/>
                      <w:bCs w:val="false"/>
                      <w:color w:val="1F2937"/>
                      <w:sz w:val="19"/>
                      <w:szCs w:val="19"/>
                    </w:rPr>
                    <w:t xml:space="preserve">N</w:t>
                  </w:r>
                </w:p>
              </w:tc>
              <w:tc>
                <w:tcPr>
                  <w:tcW w:type="dxa" w:w="7438"/>
                  <w:tcMar>
                    <w:top w:type="dxa" w:w="100"/>
                    <w:left w:type="dxa" w:w="120"/>
                    <w:bottom w:type="dxa" w:w="100"/>
                    <w:right w:type="dxa" w:w="120"/>
                  </w:tcMar>
                  <w:vAlign w:val="center"/>
                </w:tcPr>
                <w:p>
                  <w:r>
                    <w:rPr>
                      <w:b w:val="false"/>
                      <w:bCs w:val="false"/>
                      <w:color w:val="1F2937"/>
                      <w:sz w:val="19"/>
                      <w:szCs w:val="19"/>
                    </w:rPr>
                    <w:t xml:space="preserve">Goed gegeven de aanname van twee teams — mét herzieningsgrens</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3</w:t>
                  </w:r>
                </w:p>
              </w:tc>
              <w:tc>
                <w:tcPr>
                  <w:tcW w:type="dxa" w:w="1200"/>
                  <w:tcMar>
                    <w:top w:type="dxa" w:w="100"/>
                    <w:left w:type="dxa" w:w="120"/>
                    <w:bottom w:type="dxa" w:w="100"/>
                    <w:right w:type="dxa" w:w="120"/>
                  </w:tcMar>
                  <w:vAlign w:val="center"/>
                </w:tcPr>
                <w:p>
                  <w:r>
                    <w:rPr>
                      <w:b w:val="false"/>
                      <w:bCs w:val="false"/>
                      <w:color w:val="1F2937"/>
                      <w:sz w:val="19"/>
                      <w:szCs w:val="19"/>
                    </w:rPr>
                    <w:t xml:space="preserve">G</w:t>
                  </w:r>
                </w:p>
              </w:tc>
              <w:tc>
                <w:tcPr>
                  <w:tcW w:type="dxa" w:w="7438"/>
                  <w:tcMar>
                    <w:top w:type="dxa" w:w="100"/>
                    <w:left w:type="dxa" w:w="120"/>
                    <w:bottom w:type="dxa" w:w="100"/>
                    <w:right w:type="dxa" w:w="120"/>
                  </w:tcMar>
                  <w:vAlign w:val="center"/>
                </w:tcPr>
                <w:p>
                  <w:r>
                    <w:rPr>
                      <w:b w:val="false"/>
                      <w:bCs w:val="false"/>
                      <w:color w:val="1F2937"/>
                      <w:sz w:val="19"/>
                      <w:szCs w:val="19"/>
                    </w:rPr>
                    <w:t xml:space="preserve">Vijf minuten versus vijf uur verandert QS-1 nauwelijks en de actualiteit ingrijpend; klein draaien, groot effect</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4</w:t>
                  </w:r>
                </w:p>
              </w:tc>
              <w:tc>
                <w:tcPr>
                  <w:tcW w:type="dxa" w:w="1200"/>
                  <w:tcMar>
                    <w:top w:type="dxa" w:w="100"/>
                    <w:left w:type="dxa" w:w="120"/>
                    <w:bottom w:type="dxa" w:w="100"/>
                    <w:right w:type="dxa" w:w="120"/>
                  </w:tcMar>
                  <w:vAlign w:val="center"/>
                </w:tcPr>
                <w:p>
                  <w:r>
                    <w:rPr>
                      <w:b w:val="false"/>
                      <w:bCs w:val="false"/>
                      <w:color w:val="1F2937"/>
                      <w:sz w:val="19"/>
                      <w:szCs w:val="19"/>
                    </w:rPr>
                    <w:t xml:space="preserve">T</w:t>
                  </w:r>
                </w:p>
              </w:tc>
              <w:tc>
                <w:tcPr>
                  <w:tcW w:type="dxa" w:w="7438"/>
                  <w:tcMar>
                    <w:top w:type="dxa" w:w="100"/>
                    <w:left w:type="dxa" w:w="120"/>
                    <w:bottom w:type="dxa" w:w="100"/>
                    <w:right w:type="dxa" w:w="120"/>
                  </w:tcMar>
                  <w:vAlign w:val="center"/>
                </w:tcPr>
                <w:p>
                  <w:r>
                    <w:rPr>
                      <w:b w:val="false"/>
                      <w:bCs w:val="false"/>
                      <w:color w:val="1F2937"/>
                      <w:sz w:val="19"/>
                      <w:szCs w:val="19"/>
                    </w:rPr>
                    <w:t xml:space="preserve">Eerder bevestigen is beter voor QS-1, slechter voor consistentie — twee eisen, tegengestelde richting</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5</w:t>
                  </w:r>
                </w:p>
              </w:tc>
              <w:tc>
                <w:tcPr>
                  <w:tcW w:type="dxa" w:w="1200"/>
                  <w:tcMar>
                    <w:top w:type="dxa" w:w="100"/>
                    <w:left w:type="dxa" w:w="120"/>
                    <w:bottom w:type="dxa" w:w="100"/>
                    <w:right w:type="dxa" w:w="120"/>
                  </w:tcMar>
                  <w:vAlign w:val="center"/>
                </w:tcPr>
                <w:p>
                  <w:r>
                    <w:rPr>
                      <w:b w:val="false"/>
                      <w:bCs w:val="false"/>
                      <w:color w:val="1F2937"/>
                      <w:sz w:val="19"/>
                      <w:szCs w:val="19"/>
                    </w:rPr>
                    <w:t xml:space="preserve">R</w:t>
                  </w:r>
                </w:p>
              </w:tc>
              <w:tc>
                <w:tcPr>
                  <w:tcW w:type="dxa" w:w="7438"/>
                  <w:tcMar>
                    <w:top w:type="dxa" w:w="100"/>
                    <w:left w:type="dxa" w:w="120"/>
                    <w:bottom w:type="dxa" w:w="100"/>
                    <w:right w:type="dxa" w:w="120"/>
                  </w:tcMar>
                  <w:vAlign w:val="center"/>
                </w:tcPr>
                <w:p>
                  <w:r>
                    <w:rPr>
                      <w:b w:val="false"/>
                      <w:bCs w:val="false"/>
                      <w:color w:val="1F2937"/>
                      <w:sz w:val="19"/>
                      <w:szCs w:val="19"/>
                    </w:rPr>
                    <w:t xml:space="preserve">Niet te automatiseren, dus per definitie de zwakste borging bij het zwaarste concept</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6</w:t>
                  </w:r>
                </w:p>
              </w:tc>
              <w:tc>
                <w:tcPr>
                  <w:tcW w:type="dxa" w:w="1200"/>
                  <w:tcMar>
                    <w:top w:type="dxa" w:w="100"/>
                    <w:left w:type="dxa" w:w="120"/>
                    <w:bottom w:type="dxa" w:w="100"/>
                    <w:right w:type="dxa" w:w="120"/>
                  </w:tcMar>
                  <w:vAlign w:val="center"/>
                </w:tcPr>
                <w:p>
                  <w:r>
                    <w:rPr>
                      <w:b w:val="false"/>
                      <w:bCs w:val="false"/>
                      <w:color w:val="1F2937"/>
                      <w:sz w:val="19"/>
                      <w:szCs w:val="19"/>
                    </w:rPr>
                    <w:t xml:space="preserve">R</w:t>
                  </w:r>
                </w:p>
              </w:tc>
              <w:tc>
                <w:tcPr>
                  <w:tcW w:type="dxa" w:w="7438"/>
                  <w:tcMar>
                    <w:top w:type="dxa" w:w="100"/>
                    <w:left w:type="dxa" w:w="120"/>
                    <w:bottom w:type="dxa" w:w="100"/>
                    <w:right w:type="dxa" w:w="120"/>
                  </w:tcMar>
                  <w:vAlign w:val="center"/>
                </w:tcPr>
                <w:p>
                  <w:r>
                    <w:rPr>
                      <w:b w:val="false"/>
                      <w:bCs w:val="false"/>
                      <w:color w:val="1F2937"/>
                      <w:sz w:val="19"/>
                      <w:szCs w:val="19"/>
                    </w:rPr>
                    <w:t xml:space="preserve">Een parameterwijziging verandert berekende rechten; zonder versiehistorie is QS-4 niet haalbaar voor deze gegevens</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7</w:t>
                  </w:r>
                </w:p>
              </w:tc>
              <w:tc>
                <w:tcPr>
                  <w:tcW w:type="dxa" w:w="1200"/>
                  <w:tcMar>
                    <w:top w:type="dxa" w:w="100"/>
                    <w:left w:type="dxa" w:w="120"/>
                    <w:bottom w:type="dxa" w:w="100"/>
                    <w:right w:type="dxa" w:w="120"/>
                  </w:tcMar>
                  <w:vAlign w:val="center"/>
                </w:tcPr>
                <w:p>
                  <w:r>
                    <w:rPr>
                      <w:b w:val="false"/>
                      <w:bCs w:val="false"/>
                      <w:color w:val="1F2937"/>
                      <w:sz w:val="19"/>
                      <w:szCs w:val="19"/>
                    </w:rPr>
                    <w:t xml:space="preserve">G</w:t>
                  </w:r>
                </w:p>
              </w:tc>
              <w:tc>
                <w:tcPr>
                  <w:tcW w:type="dxa" w:w="7438"/>
                  <w:tcMar>
                    <w:top w:type="dxa" w:w="100"/>
                    <w:left w:type="dxa" w:w="120"/>
                    <w:bottom w:type="dxa" w:w="100"/>
                    <w:right w:type="dxa" w:w="120"/>
                  </w:tcMar>
                  <w:vAlign w:val="center"/>
                </w:tcPr>
                <w:p>
                  <w:r>
                    <w:rPr>
                      <w:b w:val="false"/>
                      <w:bCs w:val="false"/>
                      <w:color w:val="1F2937"/>
                      <w:sz w:val="19"/>
                      <w:szCs w:val="19"/>
                    </w:rPr>
                    <w:t xml:space="preserve">De drempel bepaalt of beheer te vaak of te laat wordt gewaarschuwd; klein getal, groot effect op bruikbaarheid van de waarschuwing</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8</w:t>
                  </w:r>
                </w:p>
              </w:tc>
              <w:tc>
                <w:tcPr>
                  <w:tcW w:type="dxa" w:w="1200"/>
                  <w:tcMar>
                    <w:top w:type="dxa" w:w="100"/>
                    <w:left w:type="dxa" w:w="120"/>
                    <w:bottom w:type="dxa" w:w="100"/>
                    <w:right w:type="dxa" w:w="120"/>
                  </w:tcMar>
                  <w:vAlign w:val="center"/>
                </w:tcPr>
                <w:p>
                  <w:r>
                    <w:rPr>
                      <w:b w:val="false"/>
                      <w:bCs w:val="false"/>
                      <w:color w:val="1F2937"/>
                      <w:sz w:val="19"/>
                      <w:szCs w:val="19"/>
                    </w:rPr>
                    <w:t xml:space="preserve">N</w:t>
                  </w:r>
                </w:p>
              </w:tc>
              <w:tc>
                <w:tcPr>
                  <w:tcW w:type="dxa" w:w="7438"/>
                  <w:tcMar>
                    <w:top w:type="dxa" w:w="100"/>
                    <w:left w:type="dxa" w:w="120"/>
                    <w:bottom w:type="dxa" w:w="100"/>
                    <w:right w:type="dxa" w:w="120"/>
                  </w:tcMar>
                  <w:vAlign w:val="center"/>
                </w:tcPr>
                <w:p>
                  <w:r>
                    <w:rPr>
                      <w:b w:val="false"/>
                      <w:bCs w:val="false"/>
                      <w:color w:val="1F2937"/>
                      <w:sz w:val="19"/>
                      <w:szCs w:val="19"/>
                    </w:rPr>
                    <w:t xml:space="preserve">Goede beslissing, geautomatiseerd geborgd — dit is hoe een niet-risico eruitziet</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9</w:t>
                  </w:r>
                </w:p>
              </w:tc>
              <w:tc>
                <w:tcPr>
                  <w:tcW w:type="dxa" w:w="1200"/>
                  <w:tcMar>
                    <w:top w:type="dxa" w:w="100"/>
                    <w:left w:type="dxa" w:w="120"/>
                    <w:bottom w:type="dxa" w:w="100"/>
                    <w:right w:type="dxa" w:w="120"/>
                  </w:tcMar>
                  <w:vAlign w:val="center"/>
                </w:tcPr>
                <w:p>
                  <w:r>
                    <w:rPr>
                      <w:b w:val="false"/>
                      <w:bCs w:val="false"/>
                      <w:color w:val="1F2937"/>
                      <w:sz w:val="19"/>
                      <w:szCs w:val="19"/>
                    </w:rPr>
                    <w:t xml:space="preserve">N</w:t>
                  </w:r>
                </w:p>
              </w:tc>
              <w:tc>
                <w:tcPr>
                  <w:tcW w:type="dxa" w:w="7438"/>
                  <w:tcMar>
                    <w:top w:type="dxa" w:w="100"/>
                    <w:left w:type="dxa" w:w="120"/>
                    <w:bottom w:type="dxa" w:w="100"/>
                    <w:right w:type="dxa" w:w="120"/>
                  </w:tcMar>
                  <w:vAlign w:val="center"/>
                </w:tcPr>
                <w:p>
                  <w:r>
                    <w:rPr>
                      <w:b w:val="false"/>
                      <w:bCs w:val="false"/>
                      <w:color w:val="1F2937"/>
                      <w:sz w:val="19"/>
                      <w:szCs w:val="19"/>
                    </w:rPr>
                    <w:t xml:space="preserve">Voldoet aan QS-4 en de bewaartermijn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10</w:t>
                  </w:r>
                </w:p>
              </w:tc>
              <w:tc>
                <w:tcPr>
                  <w:tcW w:type="dxa" w:w="1200"/>
                  <w:tcMar>
                    <w:top w:type="dxa" w:w="100"/>
                    <w:left w:type="dxa" w:w="120"/>
                    <w:bottom w:type="dxa" w:w="100"/>
                    <w:right w:type="dxa" w:w="120"/>
                  </w:tcMar>
                  <w:vAlign w:val="center"/>
                </w:tcPr>
                <w:p>
                  <w:r>
                    <w:rPr>
                      <w:b w:val="false"/>
                      <w:bCs w:val="false"/>
                      <w:color w:val="1F2937"/>
                      <w:sz w:val="19"/>
                      <w:szCs w:val="19"/>
                    </w:rPr>
                    <w:t xml:space="preserve">R</w:t>
                  </w:r>
                </w:p>
              </w:tc>
              <w:tc>
                <w:tcPr>
                  <w:tcW w:type="dxa" w:w="7438"/>
                  <w:tcMar>
                    <w:top w:type="dxa" w:w="100"/>
                    <w:left w:type="dxa" w:w="120"/>
                    <w:bottom w:type="dxa" w:w="100"/>
                    <w:right w:type="dxa" w:w="120"/>
                  </w:tcMar>
                  <w:vAlign w:val="center"/>
                </w:tcPr>
                <w:p>
                  <w:r>
                    <w:rPr>
                      <w:b w:val="false"/>
                      <w:bCs w:val="false"/>
                      <w:color w:val="1F2937"/>
                      <w:sz w:val="19"/>
                      <w:szCs w:val="19"/>
                    </w:rPr>
                    <w:t xml:space="preserve">Dit is de aanname uit deel 2 die als randvoorwaarde wordt behandeld; historisch maximum is geen toekomstig maximum</w:t>
                  </w:r>
                </w:p>
              </w:tc>
            </w:tr>
          </w:tbl>
          <w:p>
            <w:pPr>
              <w:spacing w:after="100"/>
            </w:pPr>
          </w:p>
          <w:p>
            <w:pPr>
              <w:spacing w:after="120" w:line="276"/>
            </w:pPr>
            <w:r>
              <w:rPr>
                <w:b/>
                <w:bCs/>
                <w:color w:val="1F2937"/>
                <w:sz w:val="21"/>
                <w:szCs w:val="21"/>
              </w:rPr>
              <w:t xml:space="preserve">Vervolgvraag — niet-risico's die kunnen kantelen:</w:t>
            </w:r>
            <w:r>
              <w:rPr>
                <w:color w:val="1F2937"/>
                <w:sz w:val="21"/>
                <w:szCs w:val="21"/>
              </w:rPr>
              <w:t xml:space="preserve"/>
            </w:r>
          </w:p>
          <w:p>
            <w:pPr>
              <w:pStyle w:val="ListParagraph"/>
              <w:numPr>
                <w:ilvl w:val="0"/>
                <w:numId w:val="2"/>
              </w:numPr>
              <w:spacing w:after="100"/>
            </w:pPr>
            <w:r>
              <w:rPr>
                <w:b/>
                <w:bCs/>
                <w:color w:val="1F2937"/>
                <w:sz w:val="21"/>
                <w:szCs w:val="21"/>
              </w:rPr>
              <w:t xml:space="preserve">2</w:t>
            </w:r>
            <w:r>
              <w:rPr>
                <w:color w:val="1F2937"/>
                <w:sz w:val="21"/>
                <w:szCs w:val="21"/>
              </w:rPr>
              <w:t xml:space="preserve"> kantelt zodra het aantal teams groeit (fusie, uitbreiding programma) of zodra een module een afwijkend schaalprofiel krijgt. Dat is precies de herzieningsgrens uit ADR-1.</w:t>
            </w:r>
          </w:p>
          <w:p>
            <w:pPr>
              <w:pStyle w:val="ListParagraph"/>
              <w:numPr>
                <w:ilvl w:val="0"/>
                <w:numId w:val="2"/>
              </w:numPr>
              <w:spacing w:after="100"/>
            </w:pPr>
            <w:r>
              <w:rPr>
                <w:b/>
                <w:bCs/>
                <w:color w:val="1F2937"/>
                <w:sz w:val="21"/>
                <w:szCs w:val="21"/>
              </w:rPr>
              <w:t xml:space="preserve">9</w:t>
            </w:r>
            <w:r>
              <w:rPr>
                <w:color w:val="1F2937"/>
                <w:sz w:val="21"/>
                <w:szCs w:val="21"/>
              </w:rPr>
              <w:t xml:space="preserve"> kantelt als de bewaartermijn wettelijk verandert, of als de opslaggroei onvoorzien uitpakt bij een fondsovername.</w:t>
            </w:r>
          </w:p>
          <w:p>
            <w:pPr>
              <w:pStyle w:val="ListParagraph"/>
              <w:numPr>
                <w:ilvl w:val="0"/>
                <w:numId w:val="2"/>
              </w:numPr>
              <w:spacing w:after="100"/>
            </w:pPr>
            <w:r>
              <w:rPr>
                <w:b/>
                <w:bCs/>
                <w:color w:val="1F2937"/>
                <w:sz w:val="21"/>
                <w:szCs w:val="21"/>
              </w:rPr>
              <w:t xml:space="preserve">8</w:t>
            </w:r>
            <w:r>
              <w:rPr>
                <w:color w:val="1F2937"/>
                <w:sz w:val="21"/>
                <w:szCs w:val="21"/>
              </w:rPr>
              <w:t xml:space="preserve"> kantelt niet snel; een geautomatiseerd geborgde beslissing is het meest robuuste soort niet-risico dat er is.</w:t>
            </w:r>
          </w:p>
          <w:p>
            <w:pPr>
              <w:spacing w:after="120" w:line="276"/>
            </w:pPr>
            <w:r>
              <w:rPr>
                <w:b/>
                <w:bCs/>
                <w:color w:val="1F2937"/>
                <w:sz w:val="21"/>
                <w:szCs w:val="21"/>
              </w:rPr>
              <w:t xml:space="preserve">Het patroon: </w:t>
            </w:r>
            <w:r>
              <w:rPr>
                <w:color w:val="1F2937"/>
                <w:sz w:val="21"/>
                <w:szCs w:val="21"/>
              </w:rPr>
              <w:t xml:space="preserve">de robuustheid van een niet-risico hangt af van de borgingslaag én van hoe stabiel de aanname eronder is. Nummer 2 is een niet-risico dat volledig op een aanname rust; nummer 8 rust op een mechanisme.</w:t>
            </w:r>
          </w:p>
        </w:tc>
      </w:tr>
    </w:tbl>
    <w:p>
      <w:pPr>
        <w:spacing w:after="300"/>
      </w:pPr>
    </w:p>
    <w:p>
      <w:pPr>
        <w:pStyle w:val="Heading1"/>
        <w:pBdr>
          <w:bottom w:val="single" w:color="E5E7EB" w:sz="6" w:space="6"/>
        </w:pBdr>
        <w:spacing w:after="180" w:before="380"/>
      </w:pPr>
      <w:r>
        <w:rPr>
          <w:b/>
          <w:bCs/>
          <w:color w:val="1F3A5F"/>
          <w:sz w:val="30"/>
          <w:szCs w:val="30"/>
        </w:rPr>
        <w:t xml:space="preserve">Opdracht 9.2 — De evaluatiesessie (hele groep, 60 minuten)</w:t>
      </w:r>
    </w:p>
    <w:p>
      <w:pPr>
        <w:spacing w:after="160" w:line="276"/>
      </w:pPr>
      <w:r>
        <w:rPr>
          <w:color w:val="1F2937"/>
          <w:sz w:val="22"/>
          <w:szCs w:val="22"/>
        </w:rPr>
        <w:t xml:space="preserve">Dit is de hoofdopdracht van het dagdeel. U evalueert uw eigen ontwerp voor Mutatie 2.0.</w:t>
      </w:r>
    </w:p>
    <w:p>
      <w:pPr>
        <w:spacing w:after="160" w:line="276"/>
      </w:pPr>
      <w:r>
        <w:rPr>
          <w:b/>
          <w:bCs/>
          <w:color w:val="1F2937"/>
          <w:sz w:val="22"/>
          <w:szCs w:val="22"/>
        </w:rPr>
        <w:t xml:space="preserve">Opzet. </w:t>
      </w:r>
      <w:r>
        <w:rPr>
          <w:color w:val="1F2937"/>
          <w:sz w:val="22"/>
          <w:szCs w:val="22"/>
        </w:rPr>
        <w:t xml:space="preserve">Eén groep presenteert haar architectuur (10 minuten, aan de hand van C4-niveau 1 en 2 plus de oplossingsstrategie uit deel 7). De overige deelnemers krijgen een rolkaart uit bijlage W.</w:t>
      </w:r>
    </w:p>
    <w:p>
      <w:pPr>
        <w:spacing w:after="160" w:line="276"/>
      </w:pPr>
      <w:r>
        <w:rPr>
          <w:b/>
          <w:bCs/>
          <w:color w:val="1F2937"/>
          <w:sz w:val="22"/>
          <w:szCs w:val="22"/>
        </w:rPr>
        <w:t xml:space="preserve">Verloop:</w:t>
      </w:r>
      <w:r>
        <w:rPr>
          <w:color w:val="1F2937"/>
          <w:sz w:val="22"/>
          <w:szCs w:val="22"/>
        </w:rPr>
        <w:t xml:space="preserve"/>
      </w:r>
    </w:p>
    <w:p>
      <w:pPr>
        <w:pStyle w:val="ListParagraph"/>
        <w:numPr>
          <w:ilvl w:val="0"/>
          <w:numId w:val="3"/>
        </w:numPr>
        <w:spacing w:after="120"/>
      </w:pPr>
      <w:r>
        <w:rPr>
          <w:b/>
          <w:bCs/>
          <w:color w:val="1F2937"/>
          <w:sz w:val="22"/>
          <w:szCs w:val="22"/>
        </w:rPr>
        <w:t xml:space="preserve">Presentatie</w:t>
      </w:r>
      <w:r>
        <w:rPr>
          <w:color w:val="1F2937"/>
          <w:sz w:val="22"/>
          <w:szCs w:val="22"/>
        </w:rPr>
        <w:t xml:space="preserve"> (10 min) — bedrijfsdoelen, grondvorm, belangrijkste beslissingen.</w:t>
      </w:r>
    </w:p>
    <w:p>
      <w:pPr>
        <w:pStyle w:val="ListParagraph"/>
        <w:numPr>
          <w:ilvl w:val="0"/>
          <w:numId w:val="3"/>
        </w:numPr>
        <w:spacing w:after="120"/>
      </w:pPr>
      <w:r>
        <w:rPr>
          <w:b/>
          <w:bCs/>
          <w:color w:val="1F2937"/>
          <w:sz w:val="22"/>
          <w:szCs w:val="22"/>
        </w:rPr>
        <w:t xml:space="preserve">Analyse tegen de drijvers</w:t>
      </w:r>
      <w:r>
        <w:rPr>
          <w:color w:val="1F2937"/>
          <w:sz w:val="22"/>
          <w:szCs w:val="22"/>
        </w:rPr>
        <w:t xml:space="preserve"> (20 min) — per drijverscenario: welke beslissingen zijn hier bepalend, en wat gebeurt er als dit scenario zich voordoet? Noteer in de vier soorten.</w:t>
      </w:r>
    </w:p>
    <w:p>
      <w:pPr>
        <w:pStyle w:val="ListParagraph"/>
        <w:numPr>
          <w:ilvl w:val="0"/>
          <w:numId w:val="3"/>
        </w:numPr>
        <w:spacing w:after="120"/>
      </w:pPr>
      <w:r>
        <w:rPr>
          <w:b/>
          <w:bCs/>
          <w:color w:val="1F2937"/>
          <w:sz w:val="22"/>
          <w:szCs w:val="22"/>
        </w:rPr>
        <w:t xml:space="preserve">Aanvullende scenario's</w:t>
      </w:r>
      <w:r>
        <w:rPr>
          <w:color w:val="1F2937"/>
          <w:sz w:val="22"/>
          <w:szCs w:val="22"/>
        </w:rPr>
        <w:t xml:space="preserve"> (15 min) — elke rol brengt minstens één scenario in dat niet op de lijst staat.</w:t>
      </w:r>
    </w:p>
    <w:p>
      <w:pPr>
        <w:pStyle w:val="ListParagraph"/>
        <w:numPr>
          <w:ilvl w:val="0"/>
          <w:numId w:val="3"/>
        </w:numPr>
        <w:spacing w:after="120"/>
      </w:pPr>
      <w:r>
        <w:rPr>
          <w:b/>
          <w:bCs/>
          <w:color w:val="1F2937"/>
          <w:sz w:val="22"/>
          <w:szCs w:val="22"/>
        </w:rPr>
        <w:t xml:space="preserve">Ordenen en toewijzen</w:t>
      </w:r>
      <w:r>
        <w:rPr>
          <w:color w:val="1F2937"/>
          <w:sz w:val="22"/>
          <w:szCs w:val="22"/>
        </w:rPr>
        <w:t xml:space="preserve"> (15 min) — risico's op ernst ordenen, per risico een eigenaar en een termijn.</w:t>
      </w:r>
    </w:p>
    <w:p>
      <w:pPr>
        <w:spacing w:after="160" w:line="276"/>
      </w:pPr>
      <w:r>
        <w:rPr>
          <w:b/>
          <w:bCs/>
          <w:color w:val="1F2937"/>
          <w:sz w:val="22"/>
          <w:szCs w:val="22"/>
        </w:rPr>
        <w:t xml:space="preserve">De presentator mag niet verdedigen tijdens stap 3.</w:t>
      </w:r>
      <w:r>
        <w:rPr>
          <w:color w:val="1F2937"/>
          <w:sz w:val="22"/>
          <w:szCs w:val="22"/>
        </w:rPr>
        <w:t xml:space="preserve"> Alleen vragen stellen en noteren. Verdedigen komt in deel 10; vandaag verzamelt 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9.2</w:t>
            </w:r>
          </w:p>
          <w:p>
            <w:pPr>
              <w:spacing w:after="80"/>
            </w:pPr>
          </w:p>
          <w:p>
            <w:pPr>
              <w:spacing w:after="120" w:line="276"/>
            </w:pPr>
            <w:r>
              <w:rPr>
                <w:color w:val="1F2937"/>
                <w:sz w:val="21"/>
                <w:szCs w:val="21"/>
              </w:rPr>
              <w:t xml:space="preserve">Geen modelantwoord. Waarop u let bij de nabespreking:</w:t>
            </w:r>
          </w:p>
          <w:p>
            <w:pPr>
              <w:spacing w:after="120" w:line="276"/>
            </w:pPr>
            <w:r>
              <w:rPr>
                <w:b/>
                <w:bCs/>
                <w:color w:val="1F2937"/>
                <w:sz w:val="21"/>
                <w:szCs w:val="21"/>
              </w:rPr>
              <w:t xml:space="preserve">Stap 3 levert vrijwel altijd meer op dan stap 2.</w:t>
            </w:r>
            <w:r>
              <w:rPr>
                <w:color w:val="1F2937"/>
                <w:sz w:val="21"/>
                <w:szCs w:val="21"/>
              </w:rPr>
              <w:t xml:space="preserve"> Dat is het punt van de opdracht en het is instructief dat het gebeurt terwijl de deelnemers hun eigen ontwerp al negen weken kennen.</w:t>
            </w:r>
          </w:p>
          <w:p>
            <w:pPr>
              <w:spacing w:after="120" w:line="276"/>
            </w:pPr>
            <w:r>
              <w:rPr>
                <w:color w:val="1F2937"/>
                <w:sz w:val="21"/>
                <w:szCs w:val="21"/>
              </w:rPr>
              <w:t xml:space="preserve">De vier scenario's uit de reader komen doorgaans in enige vorm boven. Wat er daarnaast vaak uitkomt:</w:t>
            </w:r>
          </w:p>
          <w:p>
            <w:pPr>
              <w:pStyle w:val="ListParagraph"/>
              <w:numPr>
                <w:ilvl w:val="0"/>
                <w:numId w:val="2"/>
              </w:numPr>
              <w:spacing w:after="100"/>
            </w:pPr>
            <w:r>
              <w:rPr>
                <w:b/>
                <w:bCs/>
                <w:color w:val="1F2937"/>
                <w:sz w:val="21"/>
                <w:szCs w:val="21"/>
              </w:rPr>
              <w:t xml:space="preserve">Security:</w:t>
            </w:r>
            <w:r>
              <w:rPr>
                <w:color w:val="1F2937"/>
                <w:sz w:val="21"/>
                <w:szCs w:val="21"/>
              </w:rPr>
              <w:t xml:space="preserve"> "een medewerker verlaat de organisatie terwijl er mutaties op zijn naam in de goedkeuringswachtrij staan."</w:t>
            </w:r>
          </w:p>
          <w:p>
            <w:pPr>
              <w:pStyle w:val="ListParagraph"/>
              <w:numPr>
                <w:ilvl w:val="0"/>
                <w:numId w:val="2"/>
              </w:numPr>
              <w:spacing w:after="100"/>
            </w:pPr>
            <w:r>
              <w:rPr>
                <w:b/>
                <w:bCs/>
                <w:color w:val="1F2937"/>
                <w:sz w:val="21"/>
                <w:szCs w:val="21"/>
              </w:rPr>
              <w:t xml:space="preserve">PO:</w:t>
            </w:r>
            <w:r>
              <w:rPr>
                <w:color w:val="1F2937"/>
                <w:sz w:val="21"/>
                <w:szCs w:val="21"/>
              </w:rPr>
              <w:t xml:space="preserve"> "we willen over een jaar dat werkgevers zelf hun mutaties in een portaal invoeren in plaats van via batch."</w:t>
            </w:r>
          </w:p>
          <w:p>
            <w:pPr>
              <w:pStyle w:val="ListParagraph"/>
              <w:numPr>
                <w:ilvl w:val="0"/>
                <w:numId w:val="2"/>
              </w:numPr>
              <w:spacing w:after="100"/>
            </w:pPr>
            <w:r>
              <w:rPr>
                <w:b/>
                <w:bCs/>
                <w:color w:val="1F2937"/>
                <w:sz w:val="21"/>
                <w:szCs w:val="21"/>
              </w:rPr>
              <w:t xml:space="preserve">Compliance:</w:t>
            </w:r>
            <w:r>
              <w:rPr>
                <w:color w:val="1F2937"/>
                <w:sz w:val="21"/>
                <w:szCs w:val="21"/>
              </w:rPr>
              <w:t xml:space="preserve"> "de deelnemer doet een AVG-inzageverzoek en vraagt om verwijdering van gegevens waar wij een bewaarplicht op hebben."</w:t>
            </w:r>
          </w:p>
          <w:p>
            <w:pPr>
              <w:spacing w:after="120" w:line="276"/>
            </w:pPr>
            <w:r>
              <w:rPr>
                <w:color w:val="1F2937"/>
                <w:sz w:val="21"/>
                <w:szCs w:val="21"/>
              </w:rPr>
              <w:t xml:space="preserve">Het laatste is het scherpste, want het botst met de onveranderlijke gebeurtenisopslag uit deel 5. Het goede antwoord is niet dat de opslag alsnog wijzigbaar wordt, maar dat het onderscheid tussen bewaarplicht en verwijderrecht een juridische afweging is die tot een architectuurpatroon leidt (bijvoorbeeld het onleesbaar maken van persoonsgegevens met behoud van de gebeurtenisstructuur). Groepen die dat zelf bedenken, hebben het niveau ruim gehaald.</w:t>
            </w:r>
          </w:p>
          <w:p>
            <w:pPr>
              <w:spacing w:after="120" w:line="276"/>
            </w:pPr>
            <w:r>
              <w:rPr>
                <w:b/>
                <w:bCs/>
                <w:color w:val="1F2937"/>
                <w:sz w:val="21"/>
                <w:szCs w:val="21"/>
              </w:rPr>
              <w:t xml:space="preserve">Waarop u de sessie beoordeelt, niet de architectuur: </w:t>
            </w:r>
            <w:r>
              <w:rPr>
                <w:color w:val="1F2937"/>
                <w:sz w:val="21"/>
                <w:szCs w:val="21"/>
              </w:rPr>
              <w:t xml:space="preserve">krijgt elk risico een eigenaar en een termijn (stap 4)? Groepen die na 60 minuten een lijst zonder eigenaren hebben, hebben een goed gesprek gevoerd en geen evaluatie.</w:t>
            </w:r>
          </w:p>
        </w:tc>
      </w:tr>
    </w:tbl>
    <w:p>
      <w:pPr>
        <w:spacing w:after="300"/>
      </w:pPr>
    </w:p>
    <w:p>
      <w:pPr>
        <w:pStyle w:val="Heading1"/>
        <w:pBdr>
          <w:bottom w:val="single" w:color="E5E7EB" w:sz="6" w:space="6"/>
        </w:pBdr>
        <w:spacing w:after="180" w:before="380"/>
      </w:pPr>
      <w:r>
        <w:rPr>
          <w:b/>
          <w:bCs/>
          <w:color w:val="1F3A5F"/>
          <w:sz w:val="30"/>
          <w:szCs w:val="30"/>
        </w:rPr>
        <w:t xml:space="preserve">Opdracht 9.3 — Het borgingsmodel (groepen van vier, 30 minuten)</w:t>
      </w:r>
    </w:p>
    <w:p>
      <w:pPr>
        <w:spacing w:after="160" w:line="276"/>
      </w:pPr>
      <w:r>
        <w:rPr>
          <w:color w:val="1F2937"/>
          <w:sz w:val="22"/>
          <w:szCs w:val="22"/>
        </w:rPr>
        <w:t xml:space="preserve">Uit opdracht 8.7c hebt u een lijst van maatregelen waarbij handhaving of eigenaarschap ontbreekt.</w:t>
      </w:r>
    </w:p>
    <w:p>
      <w:pPr>
        <w:pStyle w:val="ListParagraph"/>
        <w:numPr>
          <w:ilvl w:val="0"/>
          <w:numId w:val="2"/>
        </w:numPr>
        <w:spacing w:after="100"/>
      </w:pPr>
      <w:r>
        <w:rPr>
          <w:b/>
          <w:bCs/>
          <w:color w:val="1F2937"/>
          <w:sz w:val="22"/>
          <w:szCs w:val="22"/>
        </w:rPr>
        <w:t xml:space="preserve">a)</w:t>
      </w:r>
      <w:r>
        <w:rPr>
          <w:color w:val="1F2937"/>
          <w:sz w:val="22"/>
          <w:szCs w:val="22"/>
        </w:rPr>
        <w:t xml:space="preserve"> Verdeel al uw maatregelen over de drie borgingslagen uit paragraaf 9.6: automatisch afgedwongen, beoordeeld op vaste momenten, of bewaakt door aanwezigheid.</w:t>
      </w:r>
    </w:p>
    <w:p>
      <w:pPr>
        <w:pStyle w:val="ListParagraph"/>
        <w:numPr>
          <w:ilvl w:val="0"/>
          <w:numId w:val="2"/>
        </w:numPr>
        <w:spacing w:after="100"/>
      </w:pPr>
      <w:r>
        <w:rPr>
          <w:b/>
          <w:bCs/>
          <w:color w:val="1F2937"/>
          <w:sz w:val="22"/>
          <w:szCs w:val="22"/>
        </w:rPr>
        <w:t xml:space="preserve">b)</w:t>
      </w:r>
      <w:r>
        <w:rPr>
          <w:color w:val="1F2937"/>
          <w:sz w:val="22"/>
          <w:szCs w:val="22"/>
        </w:rPr>
        <w:t xml:space="preserve"> Voor alles in laag 1: noem het concrete middel en wat er gebeurt als het faalt.</w:t>
      </w:r>
    </w:p>
    <w:p>
      <w:pPr>
        <w:pStyle w:val="ListParagraph"/>
        <w:numPr>
          <w:ilvl w:val="0"/>
          <w:numId w:val="2"/>
        </w:numPr>
        <w:spacing w:after="100"/>
      </w:pPr>
      <w:r>
        <w:rPr>
          <w:b/>
          <w:bCs/>
          <w:color w:val="1F2937"/>
          <w:sz w:val="22"/>
          <w:szCs w:val="22"/>
        </w:rPr>
        <w:t xml:space="preserve">c)</w:t>
      </w:r>
      <w:r>
        <w:rPr>
          <w:color w:val="1F2937"/>
          <w:sz w:val="22"/>
          <w:szCs w:val="22"/>
        </w:rPr>
        <w:t xml:space="preserve"> Voor alles in laag 2: noem het moment en wie erbij is.</w:t>
      </w:r>
    </w:p>
    <w:p>
      <w:pPr>
        <w:pStyle w:val="ListParagraph"/>
        <w:numPr>
          <w:ilvl w:val="0"/>
          <w:numId w:val="2"/>
        </w:numPr>
        <w:spacing w:after="100"/>
      </w:pPr>
      <w:r>
        <w:rPr>
          <w:b/>
          <w:bCs/>
          <w:color w:val="1F2937"/>
          <w:sz w:val="22"/>
          <w:szCs w:val="22"/>
        </w:rPr>
        <w:t xml:space="preserve">d)</w:t>
      </w:r>
      <w:r>
        <w:rPr>
          <w:color w:val="1F2937"/>
          <w:sz w:val="22"/>
          <w:szCs w:val="22"/>
        </w:rPr>
        <w:t xml:space="preserve"> Voor alles in laag 3: erken dat dit de zwakste borging is. Kunt u iets uit laag 3 naar laag 2 of 1 verplaatsen? Wat zou dat kosten?</w:t>
      </w:r>
    </w:p>
    <w:p>
      <w:pPr>
        <w:pStyle w:val="ListParagraph"/>
        <w:numPr>
          <w:ilvl w:val="0"/>
          <w:numId w:val="2"/>
        </w:numPr>
        <w:spacing w:after="100"/>
      </w:pPr>
      <w:r>
        <w:rPr>
          <w:b/>
          <w:bCs/>
          <w:color w:val="1F2937"/>
          <w:sz w:val="22"/>
          <w:szCs w:val="22"/>
        </w:rPr>
        <w:t xml:space="preserve">e)</w:t>
      </w:r>
      <w:r>
        <w:rPr>
          <w:color w:val="1F2937"/>
          <w:sz w:val="22"/>
          <w:szCs w:val="22"/>
        </w:rPr>
        <w:t xml:space="preserve"> Het gremium. Stel het samen: wie zit erin, hoe vaak komt het bijeen, waarover beslist het, en waarover uitdrukkelijk niet? Formuleer het laatste punt scherp — een gremium zonder afgebakend mandaat wordt een flessenhals of een praatclub.</w:t>
      </w:r>
    </w:p>
    <w:p>
      <w:pPr>
        <w:pStyle w:val="ListParagraph"/>
        <w:numPr>
          <w:ilvl w:val="0"/>
          <w:numId w:val="2"/>
        </w:numPr>
        <w:spacing w:after="100"/>
      </w:pPr>
      <w:r>
        <w:rPr>
          <w:b/>
          <w:bCs/>
          <w:color w:val="1F2937"/>
          <w:sz w:val="22"/>
          <w:szCs w:val="22"/>
        </w:rPr>
        <w:t xml:space="preserve">f)</w:t>
      </w:r>
      <w:r>
        <w:rPr>
          <w:color w:val="1F2937"/>
          <w:sz w:val="22"/>
          <w:szCs w:val="22"/>
        </w:rPr>
        <w:t xml:space="preserve"> Beantwoord: als een team onder deadlinedruk een cross-cutting concept schendt, wat gebeurt er dan concreet? Beschrijf het verloop, niet het voornemen.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9.3</w:t>
            </w:r>
          </w:p>
          <w:p>
            <w:pPr>
              <w:spacing w:after="80"/>
            </w:pPr>
          </w:p>
          <w:p>
            <w:pPr>
              <w:spacing w:after="120" w:line="276"/>
            </w:pPr>
            <w:r>
              <w:rPr>
                <w:b/>
                <w:bCs/>
                <w:color w:val="1F2937"/>
                <w:sz w:val="21"/>
                <w:szCs w:val="21"/>
              </w:rPr>
              <w:t xml:space="preserve">a-d)</w:t>
            </w:r>
            <w:r>
              <w:rPr>
                <w:color w:val="1F2937"/>
                <w:sz w:val="21"/>
                <w:szCs w:val="21"/>
              </w:rPr>
              <w:t xml:space="preserve"> De verdeling die de meeste groepen bereiken:</w:t>
            </w:r>
          </w:p>
          <w:p>
            <w:pPr>
              <w:spacing w:after="120" w:line="276"/>
            </w:pPr>
            <w:r>
              <w:rPr>
                <w:b/>
                <w:bCs/>
                <w:color w:val="1F2937"/>
                <w:sz w:val="21"/>
                <w:szCs w:val="21"/>
              </w:rPr>
              <w:t xml:space="preserve">Laag 1 (automatisch): </w:t>
            </w:r>
            <w:r>
              <w:rPr>
                <w:color w:val="1F2937"/>
                <w:sz w:val="21"/>
                <w:szCs w:val="21"/>
              </w:rPr>
              <w:t xml:space="preserve">modulegrenzen, richting van afhankelijkheden, klokaanroepen via de tijdpoort, correlatie-identificatie, UTC-opslag, gebruikerstekst uit één voorziening.</w:t>
            </w:r>
          </w:p>
          <w:p>
            <w:pPr>
              <w:spacing w:after="120" w:line="276"/>
            </w:pPr>
            <w:r>
              <w:rPr>
                <w:b/>
                <w:bCs/>
                <w:color w:val="1F2937"/>
                <w:sz w:val="21"/>
                <w:szCs w:val="21"/>
              </w:rPr>
              <w:t xml:space="preserve">Laag 2 (vaste momenten): </w:t>
            </w:r>
            <w:r>
              <w:rPr>
                <w:color w:val="1F2937"/>
                <w:sz w:val="21"/>
                <w:szCs w:val="21"/>
              </w:rPr>
              <w:t xml:space="preserve">aanvaarding van ADR's, uitzonderingen op cross-cutting concepten, beoordeling of een evaluatierisico is afgedekt, en de kwartaalmeting van drijverscenario's.</w:t>
            </w:r>
          </w:p>
          <w:p>
            <w:pPr>
              <w:spacing w:after="120" w:line="276"/>
            </w:pPr>
            <w:r>
              <w:rPr>
                <w:b/>
                <w:bCs/>
                <w:color w:val="1F2937"/>
                <w:sz w:val="21"/>
                <w:szCs w:val="21"/>
              </w:rPr>
              <w:t xml:space="preserve">Laag 3 (aanwezigheid): </w:t>
            </w:r>
            <w:r>
              <w:rPr>
                <w:color w:val="1F2937"/>
                <w:sz w:val="21"/>
                <w:szCs w:val="21"/>
              </w:rPr>
              <w:t xml:space="preserve">welke datum leidend is per nieuwe berekening, de vraag of een nieuwe module de indelingsas volgt, en de vraag of een abstractie een beslissing verbergt.</w:t>
            </w:r>
          </w:p>
          <w:p>
            <w:pPr>
              <w:spacing w:after="120" w:line="276"/>
            </w:pPr>
            <w:r>
              <w:rPr>
                <w:b/>
                <w:bCs/>
                <w:color w:val="1F2937"/>
                <w:sz w:val="21"/>
                <w:szCs w:val="21"/>
              </w:rPr>
              <w:t xml:space="preserve">Bij d): </w:t>
            </w:r>
            <w:r>
              <w:rPr>
                <w:color w:val="1F2937"/>
                <w:sz w:val="21"/>
                <w:szCs w:val="21"/>
              </w:rPr>
              <w:t xml:space="preserve">het meest waardevolle verplaatsing is meestal het datumconcept van laag 3 naar laag 2 — niet automatiseerbaar, maar wel als vast agendapunt bij elke refinement waarin een berekening voorkomt. Kosten: enkele minuten per refinement, plus de discipline om het te agenderen.</w:t>
            </w:r>
          </w:p>
          <w:p>
            <w:pPr>
              <w:spacing w:after="120" w:line="276"/>
            </w:pPr>
            <w:r>
              <w:rPr>
                <w:b/>
                <w:bCs/>
                <w:color w:val="1F2937"/>
                <w:sz w:val="21"/>
                <w:szCs w:val="21"/>
              </w:rPr>
              <w:t xml:space="preserve">e) Het gremium.</w:t>
            </w:r>
            <w:r>
              <w:rPr>
                <w:color w:val="1F2937"/>
                <w:sz w:val="21"/>
                <w:szCs w:val="21"/>
              </w:rPr>
              <w:t xml:space="preserve"> Een sterke uitwerking:</w:t>
            </w:r>
          </w:p>
          <w:p>
            <w:pPr>
              <w:pStyle w:val="ListParagraph"/>
              <w:numPr>
                <w:ilvl w:val="0"/>
                <w:numId w:val="2"/>
              </w:numPr>
              <w:spacing w:after="100"/>
            </w:pPr>
            <w:r>
              <w:rPr>
                <w:b/>
                <w:bCs/>
                <w:color w:val="1F2937"/>
                <w:sz w:val="21"/>
                <w:szCs w:val="21"/>
              </w:rPr>
              <w:t xml:space="preserve">Wie:</w:t>
            </w:r>
            <w:r>
              <w:rPr>
                <w:color w:val="1F2937"/>
                <w:sz w:val="21"/>
                <w:szCs w:val="21"/>
              </w:rPr>
              <w:t xml:space="preserve"> de architect, één senior ontwikkelaar per team, op afroep beheer en security.</w:t>
            </w:r>
          </w:p>
          <w:p>
            <w:pPr>
              <w:pStyle w:val="ListParagraph"/>
              <w:numPr>
                <w:ilvl w:val="0"/>
                <w:numId w:val="2"/>
              </w:numPr>
              <w:spacing w:after="100"/>
            </w:pPr>
            <w:r>
              <w:rPr>
                <w:b/>
                <w:bCs/>
                <w:color w:val="1F2937"/>
                <w:sz w:val="21"/>
                <w:szCs w:val="21"/>
              </w:rPr>
              <w:t xml:space="preserve">Hoe vaak:</w:t>
            </w:r>
            <w:r>
              <w:rPr>
                <w:color w:val="1F2937"/>
                <w:sz w:val="21"/>
                <w:szCs w:val="21"/>
              </w:rPr>
              <w:t xml:space="preserve"> elke twee weken een half uur, plus op afroep bij een voorgestelde ADR.</w:t>
            </w:r>
          </w:p>
          <w:p>
            <w:pPr>
              <w:pStyle w:val="ListParagraph"/>
              <w:numPr>
                <w:ilvl w:val="0"/>
                <w:numId w:val="2"/>
              </w:numPr>
              <w:spacing w:after="100"/>
            </w:pPr>
            <w:r>
              <w:rPr>
                <w:b/>
                <w:bCs/>
                <w:color w:val="1F2937"/>
                <w:sz w:val="21"/>
                <w:szCs w:val="21"/>
              </w:rPr>
              <w:t xml:space="preserve">Waarover wel:</w:t>
            </w:r>
            <w:r>
              <w:rPr>
                <w:color w:val="1F2937"/>
                <w:sz w:val="21"/>
                <w:szCs w:val="21"/>
              </w:rPr>
              <w:t xml:space="preserve"> aanvaarding van ADR's, uitzonderingen op concepten, afdekking van evaluatierisico's, en de vraag of een beslissing significant is (het criterium uit deel 1).</w:t>
            </w:r>
          </w:p>
          <w:p>
            <w:pPr>
              <w:pStyle w:val="ListParagraph"/>
              <w:numPr>
                <w:ilvl w:val="0"/>
                <w:numId w:val="2"/>
              </w:numPr>
              <w:spacing w:after="100"/>
            </w:pPr>
            <w:r>
              <w:rPr>
                <w:b/>
                <w:bCs/>
                <w:color w:val="1F2937"/>
                <w:sz w:val="21"/>
                <w:szCs w:val="21"/>
              </w:rPr>
              <w:t xml:space="preserve">Waarover uitdrukkelijk niet:</w:t>
            </w:r>
            <w:r>
              <w:rPr>
                <w:color w:val="1F2937"/>
                <w:sz w:val="21"/>
                <w:szCs w:val="21"/>
              </w:rPr>
              <w:t xml:space="preserve"> het ontwerp binnen een module, technologiekeuzes zonder systeembrede gevolgen, en de vraag hoe een team zijn werk indeelt.</w:t>
            </w:r>
          </w:p>
          <w:p>
            <w:pPr>
              <w:spacing w:after="120" w:line="276"/>
            </w:pPr>
            <w:r>
              <w:rPr>
                <w:color w:val="1F2937"/>
                <w:sz w:val="21"/>
                <w:szCs w:val="21"/>
              </w:rPr>
              <w:t xml:space="preserve">Het laatste punt is het beslissende. Groepen die het weglaten, ontwerpen een gremium dat binnen een half jaar wordt omzeild.</w:t>
            </w:r>
          </w:p>
          <w:p>
            <w:pPr>
              <w:spacing w:after="120" w:line="276"/>
            </w:pPr>
            <w:r>
              <w:rPr>
                <w:b/>
                <w:bCs/>
                <w:color w:val="1F2937"/>
                <w:sz w:val="21"/>
                <w:szCs w:val="21"/>
              </w:rPr>
              <w:t xml:space="preserve">f) Wat gebeurt er bij een schending onder deadlinedruk?</w:t>
            </w:r>
            <w:r>
              <w:rPr>
                <w:color w:val="1F2937"/>
                <w:sz w:val="21"/>
                <w:szCs w:val="21"/>
              </w:rPr>
              <w:t xml:space="preserve"> Dit is de vraag die het model toetst. Een goed antwoord beschrijft een verloop:</w:t>
            </w:r>
          </w:p>
          <w:p>
            <w:pPr>
              <w:spacing w:after="120" w:line="276"/>
            </w:pPr>
            <w:r>
              <w:rPr>
                <w:i/>
                <w:iCs/>
                <w:color w:val="1F2937"/>
                <w:sz w:val="21"/>
                <w:szCs w:val="21"/>
              </w:rPr>
              <w:t xml:space="preserve">De bouwstraat faalt (laag 1) → het team ziet het binnen minuten → als het bewust is, vraagt het team een uitzondering aan bij het gremium → het gremium beslist binnen twee dagen en legt de uitzondering vast als ADR met een termijn waarop zij vervalt → is de termijn verstreken zonder herstel, dan komt het terug op de agenda.</w:t>
            </w:r>
          </w:p>
          <w:p>
            <w:pPr>
              <w:spacing w:after="120" w:line="276"/>
            </w:pPr>
            <w:r>
              <w:rPr>
                <w:color w:val="1F2937"/>
                <w:sz w:val="21"/>
                <w:szCs w:val="21"/>
              </w:rPr>
              <w:t xml:space="preserve">Antwoorden die alleen "dan spreken we het team erop aan" bevatten, beschrijven laag 3 en dus geen borging.</w:t>
            </w:r>
          </w:p>
          <w:p>
            <w:pPr>
              <w:spacing w:after="120" w:line="276"/>
            </w:pPr>
            <w:r>
              <w:rPr>
                <w:b/>
                <w:bCs/>
                <w:color w:val="1F2937"/>
                <w:sz w:val="21"/>
                <w:szCs w:val="21"/>
              </w:rPr>
              <w:t xml:space="preserve">Het punt is dat een schending een zichtbaar, afgebakend verloop krijgt in plaats van een gesprek dat al dan niet plaatsvindt.</w:t>
            </w:r>
            <w:r>
              <w:rPr>
                <w:color w:val="1F2937"/>
                <w:sz w:val="21"/>
                <w:szCs w:val="21"/>
              </w:rPr>
              <w:t xml:space="preserve"> Merk ook op dat de uitzondering wordt toegestaan — een borgingsmodel dat geen uitzonderingen kent, wordt omzeild in plaats van gevolgd.</w:t>
            </w:r>
          </w:p>
        </w:tc>
      </w:tr>
    </w:tbl>
    <w:p>
      <w:pPr>
        <w:spacing w:after="300"/>
      </w:pPr>
    </w:p>
    <w:p>
      <w:pPr>
        <w:pStyle w:val="Heading1"/>
        <w:pBdr>
          <w:bottom w:val="single" w:color="E5E7EB" w:sz="6" w:space="6"/>
        </w:pBdr>
        <w:spacing w:after="180" w:before="380"/>
      </w:pPr>
      <w:r>
        <w:rPr>
          <w:b/>
          <w:bCs/>
          <w:color w:val="1F3A5F"/>
          <w:sz w:val="30"/>
          <w:szCs w:val="30"/>
        </w:rPr>
        <w:t xml:space="preserve">Opdracht 9.4 — Ontwerpfout of gerealiseerd risico? (duo's, 25 minuten)</w:t>
      </w:r>
    </w:p>
    <w:p>
      <w:pPr>
        <w:spacing w:after="160" w:line="276"/>
      </w:pPr>
      <w:r>
        <w:rPr>
          <w:color w:val="1F2937"/>
          <w:sz w:val="22"/>
          <w:szCs w:val="22"/>
        </w:rPr>
        <w:t xml:space="preserve">Bijlage X vermeldt per bevinding uit Mutatie 1.0 wanneer het probleem voor het eerst had kunnen worden vastgesteld.</w:t>
      </w:r>
    </w:p>
    <w:p>
      <w:pPr>
        <w:spacing w:after="160" w:line="276"/>
      </w:pPr>
      <w:r>
        <w:rPr>
          <w:b/>
          <w:bCs/>
          <w:color w:val="1F2937"/>
          <w:sz w:val="22"/>
          <w:szCs w:val="22"/>
        </w:rPr>
        <w:t xml:space="preserve">Beoordeel per geval: </w:t>
      </w:r>
      <w:r>
        <w:rPr>
          <w:color w:val="1F2937"/>
          <w:sz w:val="22"/>
          <w:szCs w:val="22"/>
        </w:rPr>
        <w:t xml:space="preserve">ontwerpfout of gerealiseerd risico? Gebruik de toets uit paragraaf 9.7 — was de beslissing redelijk met de toenmalige informatie, en zo nee, was de ontbrekende informatie tegen aanvaardbare kosten te achterhalen?</w:t>
      </w:r>
    </w:p>
    <w:p>
      <w:pPr>
        <w:pStyle w:val="ListParagraph"/>
        <w:numPr>
          <w:ilvl w:val="0"/>
          <w:numId w:val="4"/>
        </w:numPr>
        <w:spacing w:after="120"/>
      </w:pPr>
      <w:r>
        <w:rPr>
          <w:color w:val="1F2937"/>
          <w:sz w:val="22"/>
          <w:szCs w:val="22"/>
        </w:rPr>
        <w:t xml:space="preserve">De limiet van 20 aanroepen per seconde was niet bekend bij het ontwerp.</w:t>
      </w:r>
    </w:p>
    <w:p>
      <w:pPr>
        <w:pStyle w:val="ListParagraph"/>
        <w:numPr>
          <w:ilvl w:val="0"/>
          <w:numId w:val="4"/>
        </w:numPr>
        <w:spacing w:after="120"/>
      </w:pPr>
      <w:r>
        <w:rPr>
          <w:color w:val="1F2937"/>
          <w:sz w:val="22"/>
          <w:szCs w:val="22"/>
        </w:rPr>
        <w:t xml:space="preserve">De aanname dat gegevens tot 24 uur oud volstaan.</w:t>
      </w:r>
    </w:p>
    <w:p>
      <w:pPr>
        <w:pStyle w:val="ListParagraph"/>
        <w:numPr>
          <w:ilvl w:val="0"/>
          <w:numId w:val="4"/>
        </w:numPr>
        <w:spacing w:after="120"/>
      </w:pPr>
      <w:r>
        <w:rPr>
          <w:color w:val="1F2937"/>
          <w:sz w:val="22"/>
          <w:szCs w:val="22"/>
        </w:rPr>
        <w:t xml:space="preserve">De keuze voor elf onafhankelijk deploybare services.</w:t>
      </w:r>
    </w:p>
    <w:p>
      <w:pPr>
        <w:pStyle w:val="ListParagraph"/>
        <w:numPr>
          <w:ilvl w:val="0"/>
          <w:numId w:val="4"/>
        </w:numPr>
        <w:spacing w:after="120"/>
      </w:pPr>
      <w:r>
        <w:rPr>
          <w:color w:val="1F2937"/>
          <w:sz w:val="22"/>
          <w:szCs w:val="22"/>
        </w:rPr>
        <w:t xml:space="preserve">Het vertrek van de leadontwikkelaar in maand negen.</w:t>
      </w:r>
    </w:p>
    <w:p>
      <w:pPr>
        <w:pStyle w:val="ListParagraph"/>
        <w:numPr>
          <w:ilvl w:val="0"/>
          <w:numId w:val="4"/>
        </w:numPr>
        <w:spacing w:after="120"/>
      </w:pPr>
      <w:r>
        <w:rPr>
          <w:color w:val="1F2937"/>
          <w:sz w:val="22"/>
          <w:szCs w:val="22"/>
        </w:rPr>
        <w:t xml:space="preserve">De vier verschillende foutafhandelingsbenaderingen.</w:t>
      </w:r>
    </w:p>
    <w:p>
      <w:pPr>
        <w:pStyle w:val="ListParagraph"/>
        <w:numPr>
          <w:ilvl w:val="0"/>
          <w:numId w:val="4"/>
        </w:numPr>
        <w:spacing w:after="120"/>
      </w:pPr>
      <w:r>
        <w:rPr>
          <w:color w:val="1F2937"/>
          <w:sz w:val="22"/>
          <w:szCs w:val="22"/>
        </w:rPr>
        <w:t xml:space="preserve">De synchrone keten van vier schakels in het kritieke pad.</w:t>
      </w:r>
    </w:p>
    <w:p>
      <w:pPr>
        <w:pStyle w:val="ListParagraph"/>
        <w:numPr>
          <w:ilvl w:val="0"/>
          <w:numId w:val="4"/>
        </w:numPr>
        <w:spacing w:after="120"/>
      </w:pPr>
      <w:r>
        <w:rPr>
          <w:color w:val="1F2937"/>
          <w:sz w:val="22"/>
          <w:szCs w:val="22"/>
        </w:rPr>
        <w:t xml:space="preserve">Het ontbreken van een architect in de aanbesteding.</w:t>
      </w:r>
    </w:p>
    <w:p>
      <w:pPr>
        <w:spacing w:after="160" w:line="276"/>
      </w:pPr>
      <w:r>
        <w:rPr>
          <w:b/>
          <w:bCs/>
          <w:color w:val="1F2937"/>
          <w:sz w:val="22"/>
          <w:szCs w:val="22"/>
        </w:rPr>
        <w:t xml:space="preserve">Vervolgvragen:</w:t>
      </w:r>
      <w:r>
        <w:rPr>
          <w:color w:val="1F2937"/>
          <w:sz w:val="22"/>
          <w:szCs w:val="22"/>
        </w:rPr>
        <w:t xml:space="preserve"/>
      </w:r>
    </w:p>
    <w:p>
      <w:pPr>
        <w:pStyle w:val="ListParagraph"/>
        <w:numPr>
          <w:ilvl w:val="0"/>
          <w:numId w:val="2"/>
        </w:numPr>
        <w:spacing w:after="100"/>
      </w:pPr>
      <w:r>
        <w:rPr>
          <w:b/>
          <w:bCs/>
          <w:color w:val="1F2937"/>
          <w:sz w:val="22"/>
          <w:szCs w:val="22"/>
        </w:rPr>
        <w:t xml:space="preserve">a)</w:t>
      </w:r>
      <w:r>
        <w:rPr>
          <w:color w:val="1F2937"/>
          <w:sz w:val="22"/>
          <w:szCs w:val="22"/>
        </w:rPr>
        <w:t xml:space="preserve"> Welke maatregel hoort bij een ontwerpfout, en welke bij een gerealiseerd risico? Ze verschillen fundamenteel.</w:t>
      </w:r>
    </w:p>
    <w:p>
      <w:pPr>
        <w:pStyle w:val="ListParagraph"/>
        <w:numPr>
          <w:ilvl w:val="0"/>
          <w:numId w:val="2"/>
        </w:numPr>
        <w:spacing w:after="100"/>
      </w:pPr>
      <w:r>
        <w:rPr>
          <w:b/>
          <w:bCs/>
          <w:color w:val="1F2937"/>
          <w:sz w:val="22"/>
          <w:szCs w:val="22"/>
        </w:rPr>
        <w:t xml:space="preserve">b)</w:t>
      </w:r>
      <w:r>
        <w:rPr>
          <w:color w:val="1F2937"/>
          <w:sz w:val="22"/>
          <w:szCs w:val="22"/>
        </w:rPr>
        <w:t xml:space="preserve"> Geval 4 (het vertrek) wordt vaak als "overmacht" bestempeld. Is dat terecht? Wat had eraan gedaan kunnen worden, en tegen welke kosten?</w:t>
      </w:r>
    </w:p>
    <w:p>
      <w:pPr>
        <w:pStyle w:val="ListParagraph"/>
        <w:numPr>
          <w:ilvl w:val="0"/>
          <w:numId w:val="2"/>
        </w:numPr>
        <w:spacing w:after="100"/>
      </w:pPr>
      <w:r>
        <w:rPr>
          <w:b/>
          <w:bCs/>
          <w:color w:val="1F2937"/>
          <w:sz w:val="22"/>
          <w:szCs w:val="22"/>
        </w:rPr>
        <w:t xml:space="preserve">c)</w:t>
      </w:r>
      <w:r>
        <w:rPr>
          <w:color w:val="1F2937"/>
          <w:sz w:val="22"/>
          <w:szCs w:val="22"/>
        </w:rPr>
        <w:t xml:space="preserve"> Wat gebeurt er in een organisatie die elk gerealiseerd risico als fout behandelt? Beschrijf het effect op hoofdstuk 11 van arc42.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9.4</w:t>
            </w:r>
          </w:p>
          <w:p>
            <w:pPr>
              <w:spacing w:after="80"/>
            </w:pP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500"/>
              <w:gridCol w:w="2700"/>
              <w:gridCol w:w="5938"/>
            </w:tblGrid>
            <w:tr>
              <w:trPr>
                <w:tblHeader/>
              </w:trPr>
              <w:tc>
                <w:tcPr>
                  <w:tcW w:type="dxa" w:w="500"/>
                  <w:shd w:fill="1F3A5F" w:val="clear"/>
                  <w:tcMar>
                    <w:top w:type="dxa" w:w="100"/>
                    <w:left w:type="dxa" w:w="120"/>
                    <w:bottom w:type="dxa" w:w="100"/>
                    <w:right w:type="dxa" w:w="120"/>
                  </w:tcMar>
                  <w:vAlign w:val="center"/>
                </w:tcPr>
                <w:p>
                  <w:r>
                    <w:rPr>
                      <w:b/>
                      <w:bCs/>
                      <w:color w:val="FFFFFF"/>
                      <w:sz w:val="19"/>
                      <w:szCs w:val="19"/>
                    </w:rPr>
                    <w:t xml:space="preserve">#</w:t>
                  </w:r>
                </w:p>
              </w:tc>
              <w:tc>
                <w:tcPr>
                  <w:tcW w:type="dxa" w:w="2700"/>
                  <w:shd w:fill="1F3A5F" w:val="clear"/>
                  <w:tcMar>
                    <w:top w:type="dxa" w:w="100"/>
                    <w:left w:type="dxa" w:w="120"/>
                    <w:bottom w:type="dxa" w:w="100"/>
                    <w:right w:type="dxa" w:w="120"/>
                  </w:tcMar>
                  <w:vAlign w:val="center"/>
                </w:tcPr>
                <w:p>
                  <w:r>
                    <w:rPr>
                      <w:b/>
                      <w:bCs/>
                      <w:color w:val="FFFFFF"/>
                      <w:sz w:val="19"/>
                      <w:szCs w:val="19"/>
                    </w:rPr>
                    <w:t xml:space="preserve">Oordeel</w:t>
                  </w:r>
                </w:p>
              </w:tc>
              <w:tc>
                <w:tcPr>
                  <w:tcW w:type="dxa" w:w="5938"/>
                  <w:shd w:fill="1F3A5F" w:val="clear"/>
                  <w:tcMar>
                    <w:top w:type="dxa" w:w="100"/>
                    <w:left w:type="dxa" w:w="120"/>
                    <w:bottom w:type="dxa" w:w="100"/>
                    <w:right w:type="dxa" w:w="120"/>
                  </w:tcMar>
                  <w:vAlign w:val="center"/>
                </w:tcPr>
                <w:p>
                  <w:r>
                    <w:rPr>
                      <w:b/>
                      <w:bCs/>
                      <w:color w:val="FFFFFF"/>
                      <w:sz w:val="19"/>
                      <w:szCs w:val="19"/>
                    </w:rPr>
                    <w:t xml:space="preserve">Toelichting</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w:t>
                  </w:r>
                </w:p>
              </w:tc>
              <w:tc>
                <w:tcPr>
                  <w:tcW w:type="dxa" w:w="2700"/>
                  <w:tcMar>
                    <w:top w:type="dxa" w:w="100"/>
                    <w:left w:type="dxa" w:w="120"/>
                    <w:bottom w:type="dxa" w:w="100"/>
                    <w:right w:type="dxa" w:w="120"/>
                  </w:tcMar>
                  <w:vAlign w:val="center"/>
                </w:tcPr>
                <w:p>
                  <w:r>
                    <w:rPr>
                      <w:b w:val="false"/>
                      <w:bCs w:val="false"/>
                      <w:color w:val="1F2937"/>
                      <w:sz w:val="19"/>
                      <w:szCs w:val="19"/>
                    </w:rPr>
                    <w:t xml:space="preserve">Ontwerpfout</w:t>
                  </w:r>
                </w:p>
              </w:tc>
              <w:tc>
                <w:tcPr>
                  <w:tcW w:type="dxa" w:w="5938"/>
                  <w:tcMar>
                    <w:top w:type="dxa" w:w="100"/>
                    <w:left w:type="dxa" w:w="120"/>
                    <w:bottom w:type="dxa" w:w="100"/>
                    <w:right w:type="dxa" w:w="120"/>
                  </w:tcMar>
                  <w:vAlign w:val="center"/>
                </w:tcPr>
                <w:p>
                  <w:r>
                    <w:rPr>
                      <w:b w:val="false"/>
                      <w:bCs w:val="false"/>
                      <w:color w:val="1F2937"/>
                      <w:sz w:val="19"/>
                      <w:szCs w:val="19"/>
                    </w:rPr>
                    <w:t xml:space="preserve">De informatie was met één telefoongesprek te achterhalen. Niet weten is hier geen overmacht maar een verzuim</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2</w:t>
                  </w:r>
                </w:p>
              </w:tc>
              <w:tc>
                <w:tcPr>
                  <w:tcW w:type="dxa" w:w="2700"/>
                  <w:tcMar>
                    <w:top w:type="dxa" w:w="100"/>
                    <w:left w:type="dxa" w:w="120"/>
                    <w:bottom w:type="dxa" w:w="100"/>
                    <w:right w:type="dxa" w:w="120"/>
                  </w:tcMar>
                  <w:vAlign w:val="center"/>
                </w:tcPr>
                <w:p>
                  <w:r>
                    <w:rPr>
                      <w:b w:val="false"/>
                      <w:bCs w:val="false"/>
                      <w:color w:val="1F2937"/>
                      <w:sz w:val="19"/>
                      <w:szCs w:val="19"/>
                    </w:rPr>
                    <w:t xml:space="preserve">Ontwerpfout</w:t>
                  </w:r>
                </w:p>
              </w:tc>
              <w:tc>
                <w:tcPr>
                  <w:tcW w:type="dxa" w:w="5938"/>
                  <w:tcMar>
                    <w:top w:type="dxa" w:w="100"/>
                    <w:left w:type="dxa" w:w="120"/>
                    <w:bottom w:type="dxa" w:w="100"/>
                    <w:right w:type="dxa" w:w="120"/>
                  </w:tcMar>
                  <w:vAlign w:val="center"/>
                </w:tcPr>
                <w:p>
                  <w:r>
                    <w:rPr>
                      <w:b w:val="false"/>
                      <w:bCs w:val="false"/>
                      <w:color w:val="1F2937"/>
                      <w:sz w:val="19"/>
                      <w:szCs w:val="19"/>
                    </w:rPr>
                    <w:t xml:space="preserve">De aanname was toetsbaar met een analyse op de bestaande mutatiehistorie — de gegevens lagen er al</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3</w:t>
                  </w:r>
                </w:p>
              </w:tc>
              <w:tc>
                <w:tcPr>
                  <w:tcW w:type="dxa" w:w="2700"/>
                  <w:tcMar>
                    <w:top w:type="dxa" w:w="100"/>
                    <w:left w:type="dxa" w:w="120"/>
                    <w:bottom w:type="dxa" w:w="100"/>
                    <w:right w:type="dxa" w:w="120"/>
                  </w:tcMar>
                  <w:vAlign w:val="center"/>
                </w:tcPr>
                <w:p>
                  <w:r>
                    <w:rPr>
                      <w:b w:val="false"/>
                      <w:bCs w:val="false"/>
                      <w:color w:val="1F2937"/>
                      <w:sz w:val="19"/>
                      <w:szCs w:val="19"/>
                    </w:rPr>
                    <w:t xml:space="preserve">Ontwerpfout</w:t>
                  </w:r>
                </w:p>
              </w:tc>
              <w:tc>
                <w:tcPr>
                  <w:tcW w:type="dxa" w:w="5938"/>
                  <w:tcMar>
                    <w:top w:type="dxa" w:w="100"/>
                    <w:left w:type="dxa" w:w="120"/>
                    <w:bottom w:type="dxa" w:w="100"/>
                    <w:right w:type="dxa" w:w="120"/>
                  </w:tcMar>
                  <w:vAlign w:val="center"/>
                </w:tcPr>
                <w:p>
                  <w:r>
                    <w:rPr>
                      <w:b w:val="false"/>
                      <w:bCs w:val="false"/>
                      <w:color w:val="1F2937"/>
                      <w:sz w:val="19"/>
                      <w:szCs w:val="19"/>
                    </w:rPr>
                    <w:t xml:space="preserve">De vier drijvers waren toetsbaar met de informatie van toen: twee teams, één deploymoment, één schaalprofiel</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4</w:t>
                  </w:r>
                </w:p>
              </w:tc>
              <w:tc>
                <w:tcPr>
                  <w:tcW w:type="dxa" w:w="2700"/>
                  <w:tcMar>
                    <w:top w:type="dxa" w:w="100"/>
                    <w:left w:type="dxa" w:w="120"/>
                    <w:bottom w:type="dxa" w:w="100"/>
                    <w:right w:type="dxa" w:w="120"/>
                  </w:tcMar>
                  <w:vAlign w:val="center"/>
                </w:tcPr>
                <w:p>
                  <w:r>
                    <w:rPr>
                      <w:b w:val="false"/>
                      <w:bCs w:val="false"/>
                      <w:color w:val="1F2937"/>
                      <w:sz w:val="19"/>
                      <w:szCs w:val="19"/>
                    </w:rPr>
                    <w:t xml:space="preserve">Gerealiseerd risico</w:t>
                  </w:r>
                </w:p>
              </w:tc>
              <w:tc>
                <w:tcPr>
                  <w:tcW w:type="dxa" w:w="5938"/>
                  <w:tcMar>
                    <w:top w:type="dxa" w:w="100"/>
                    <w:left w:type="dxa" w:w="120"/>
                    <w:bottom w:type="dxa" w:w="100"/>
                    <w:right w:type="dxa" w:w="120"/>
                  </w:tcMar>
                  <w:vAlign w:val="center"/>
                </w:tcPr>
                <w:p>
                  <w:r>
                    <w:rPr>
                      <w:b w:val="false"/>
                      <w:bCs w:val="false"/>
                      <w:color w:val="1F2937"/>
                      <w:sz w:val="19"/>
                      <w:szCs w:val="19"/>
                    </w:rPr>
                    <w:t xml:space="preserve">Het vertrek zelf was niet te voorkomen. Maar zie de vervolgvraag</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5</w:t>
                  </w:r>
                </w:p>
              </w:tc>
              <w:tc>
                <w:tcPr>
                  <w:tcW w:type="dxa" w:w="2700"/>
                  <w:tcMar>
                    <w:top w:type="dxa" w:w="100"/>
                    <w:left w:type="dxa" w:w="120"/>
                    <w:bottom w:type="dxa" w:w="100"/>
                    <w:right w:type="dxa" w:w="120"/>
                  </w:tcMar>
                  <w:vAlign w:val="center"/>
                </w:tcPr>
                <w:p>
                  <w:r>
                    <w:rPr>
                      <w:b w:val="false"/>
                      <w:bCs w:val="false"/>
                      <w:color w:val="1F2937"/>
                      <w:sz w:val="19"/>
                      <w:szCs w:val="19"/>
                    </w:rPr>
                    <w:t xml:space="preserve">Ontwerpfout, maar organisatorisch</w:t>
                  </w:r>
                </w:p>
              </w:tc>
              <w:tc>
                <w:tcPr>
                  <w:tcW w:type="dxa" w:w="5938"/>
                  <w:tcMar>
                    <w:top w:type="dxa" w:w="100"/>
                    <w:left w:type="dxa" w:w="120"/>
                    <w:bottom w:type="dxa" w:w="100"/>
                    <w:right w:type="dxa" w:w="120"/>
                  </w:tcMar>
                  <w:vAlign w:val="center"/>
                </w:tcPr>
                <w:p>
                  <w:r>
                    <w:rPr>
                      <w:b w:val="false"/>
                      <w:bCs w:val="false"/>
                      <w:color w:val="1F2937"/>
                      <w:sz w:val="19"/>
                      <w:szCs w:val="19"/>
                    </w:rPr>
                    <w:t xml:space="preserve">Elk team koos redelijk; de fout zat in het ontbreken van een partij die één keuze kon maken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6</w:t>
                  </w:r>
                </w:p>
              </w:tc>
              <w:tc>
                <w:tcPr>
                  <w:tcW w:type="dxa" w:w="2700"/>
                  <w:tcMar>
                    <w:top w:type="dxa" w:w="100"/>
                    <w:left w:type="dxa" w:w="120"/>
                    <w:bottom w:type="dxa" w:w="100"/>
                    <w:right w:type="dxa" w:w="120"/>
                  </w:tcMar>
                  <w:vAlign w:val="center"/>
                </w:tcPr>
                <w:p>
                  <w:r>
                    <w:rPr>
                      <w:b w:val="false"/>
                      <w:bCs w:val="false"/>
                      <w:color w:val="1F2937"/>
                      <w:sz w:val="19"/>
                      <w:szCs w:val="19"/>
                    </w:rPr>
                    <w:t xml:space="preserve">Ontwerpfout</w:t>
                  </w:r>
                </w:p>
              </w:tc>
              <w:tc>
                <w:tcPr>
                  <w:tcW w:type="dxa" w:w="5938"/>
                  <w:tcMar>
                    <w:top w:type="dxa" w:w="100"/>
                    <w:left w:type="dxa" w:w="120"/>
                    <w:bottom w:type="dxa" w:w="100"/>
                    <w:right w:type="dxa" w:w="120"/>
                  </w:tcMar>
                  <w:vAlign w:val="center"/>
                </w:tcPr>
                <w:p>
                  <w:r>
                    <w:rPr>
                      <w:b w:val="false"/>
                      <w:bCs w:val="false"/>
                      <w:color w:val="1F2937"/>
                      <w:sz w:val="19"/>
                      <w:szCs w:val="19"/>
                    </w:rPr>
                    <w:t xml:space="preserve">Een rekensom van dertig seconden had het uitgewezen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7</w:t>
                  </w:r>
                </w:p>
              </w:tc>
              <w:tc>
                <w:tcPr>
                  <w:tcW w:type="dxa" w:w="2700"/>
                  <w:tcMar>
                    <w:top w:type="dxa" w:w="100"/>
                    <w:left w:type="dxa" w:w="120"/>
                    <w:bottom w:type="dxa" w:w="100"/>
                    <w:right w:type="dxa" w:w="120"/>
                  </w:tcMar>
                  <w:vAlign w:val="center"/>
                </w:tcPr>
                <w:p>
                  <w:r>
                    <w:rPr>
                      <w:b w:val="false"/>
                      <w:bCs w:val="false"/>
                      <w:color w:val="1F2937"/>
                      <w:sz w:val="19"/>
                      <w:szCs w:val="19"/>
                    </w:rPr>
                    <w:t xml:space="preserve">Ontwerpfout bij de opdrachtgever</w:t>
                  </w:r>
                </w:p>
              </w:tc>
              <w:tc>
                <w:tcPr>
                  <w:tcW w:type="dxa" w:w="5938"/>
                  <w:tcMar>
                    <w:top w:type="dxa" w:w="100"/>
                    <w:left w:type="dxa" w:w="120"/>
                    <w:bottom w:type="dxa" w:w="100"/>
                    <w:right w:type="dxa" w:w="120"/>
                  </w:tcMar>
                  <w:vAlign w:val="center"/>
                </w:tcPr>
                <w:p>
                  <w:r>
                    <w:rPr>
                      <w:b w:val="false"/>
                      <w:bCs w:val="false"/>
                      <w:color w:val="1F2937"/>
                      <w:sz w:val="19"/>
                      <w:szCs w:val="19"/>
                    </w:rPr>
                    <w:t xml:space="preserve">Architectuur is weggecontracteerd zonder toetsbare eisen; die keuze is bewust genomen</w:t>
                  </w:r>
                </w:p>
              </w:tc>
            </w:tr>
          </w:tbl>
          <w:p>
            <w:pPr>
              <w:spacing w:after="100"/>
            </w:pPr>
          </w:p>
          <w:p>
            <w:pPr>
              <w:spacing w:after="120" w:line="276"/>
            </w:pPr>
            <w:r>
              <w:rPr>
                <w:b/>
                <w:bCs/>
                <w:color w:val="1F2937"/>
                <w:sz w:val="21"/>
                <w:szCs w:val="21"/>
              </w:rPr>
              <w:t xml:space="preserve">a) De maatregelen verschillen fundamenteel. </w:t>
            </w:r>
            <w:r>
              <w:rPr>
                <w:color w:val="1F2937"/>
                <w:sz w:val="21"/>
                <w:szCs w:val="21"/>
              </w:rPr>
              <w:t xml:space="preserve">Bij een ontwerpfout: betere beslisvorming — het significantiecriterium, verplichte ADR's met alternatieven, een meetmoment. Bij een gerealiseerd risico: betere risicobeheersing — het risico benoemen in hoofdstuk 11, een eigenaar toewijzen, en een maatregel die de impact verkleint.</w:t>
            </w:r>
          </w:p>
          <w:p>
            <w:pPr>
              <w:spacing w:after="120" w:line="276"/>
            </w:pPr>
            <w:r>
              <w:rPr>
                <w:color w:val="1F2937"/>
                <w:sz w:val="21"/>
                <w:szCs w:val="21"/>
              </w:rPr>
              <w:t xml:space="preserve">Wie een gerealiseerd risico met beslisvormingsmaatregelen bestrijdt, voegt proces toe zonder effect. Wie een ontwerpfout met risicobeheersing bestrijdt, accepteert een vermijdbare fout als natuurverschijnsel.</w:t>
            </w:r>
          </w:p>
          <w:p>
            <w:pPr>
              <w:spacing w:after="120" w:line="276"/>
            </w:pPr>
            <w:r>
              <w:rPr>
                <w:b/>
                <w:bCs/>
                <w:color w:val="1F2937"/>
                <w:sz w:val="21"/>
                <w:szCs w:val="21"/>
              </w:rPr>
              <w:t xml:space="preserve">b) Geval 4 is het interessantste. </w:t>
            </w:r>
            <w:r>
              <w:rPr>
                <w:color w:val="1F2937"/>
                <w:sz w:val="21"/>
                <w:szCs w:val="21"/>
              </w:rPr>
              <w:t xml:space="preserve">Het vertrek was overmacht; de zes weken stilstand waren dat niet. Wat de impact had verkleind: overdraagbare documentatie (B6), gedeeld eigenaarschap van beslissingen, en een tweede persoon die de architectuur kende. Kosten: enkele dagen per maand aan documentatie en overleg.</w:t>
            </w:r>
          </w:p>
          <w:p>
            <w:pPr>
              <w:spacing w:after="120" w:line="276"/>
            </w:pPr>
            <w:r>
              <w:rPr>
                <w:color w:val="1F2937"/>
                <w:sz w:val="21"/>
                <w:szCs w:val="21"/>
              </w:rPr>
              <w:t xml:space="preserve">Dit is het schoolvoorbeeld van het onderscheid: het risico was niet te voorkomen, de impact wel. Wie geval 4 als pure overmacht afdoet, mist de enige maatregel die iets had opgeleverd.</w:t>
            </w:r>
          </w:p>
          <w:p>
            <w:pPr>
              <w:spacing w:after="120" w:line="276"/>
            </w:pPr>
            <w:r>
              <w:rPr>
                <w:b/>
                <w:bCs/>
                <w:color w:val="1F2937"/>
                <w:sz w:val="21"/>
                <w:szCs w:val="21"/>
              </w:rPr>
              <w:t xml:space="preserve">c) </w:t>
            </w:r>
            <w:r>
              <w:rPr>
                <w:color w:val="1F2937"/>
                <w:sz w:val="21"/>
                <w:szCs w:val="21"/>
              </w:rPr>
              <w:t xml:space="preserve">In een organisatie die elk gerealiseerd risico als fout behandelt, verdwijnt hoofdstuk 11 van arc42. Wie een risico opschrijft en het treedt op, krijgt de schuld; wie niets opschrijft, kan zeggen dat niemand het kon weten. Het gevolg is dat de bekende risico's ondergronds gaan en dat de organisatie systematisch verrast wordt door dingen die iemand al zag.</w:t>
            </w:r>
          </w:p>
          <w:p>
            <w:pPr>
              <w:spacing w:after="120" w:line="276"/>
            </w:pPr>
            <w:r>
              <w:rPr>
                <w:color w:val="1F2937"/>
                <w:sz w:val="21"/>
                <w:szCs w:val="21"/>
              </w:rPr>
              <w:t xml:space="preserve">Dit is een cultuurpunt met een architectuurgevolg, en het is in niveau 3 een heel deel — daar onder de noemer eerlijk rapporteren van technische schuld.</w:t>
            </w:r>
          </w:p>
        </w:tc>
      </w:tr>
    </w:tbl>
    <w:p>
      <w:pPr>
        <w:spacing w:after="300"/>
      </w:pPr>
    </w:p>
    <w:p>
      <w:pPr>
        <w:pStyle w:val="Heading1"/>
        <w:pBdr>
          <w:bottom w:val="single" w:color="E5E7EB" w:sz="6" w:space="6"/>
        </w:pBdr>
        <w:spacing w:after="180" w:before="380"/>
      </w:pPr>
      <w:r>
        <w:rPr>
          <w:b/>
          <w:bCs/>
          <w:color w:val="1F3A5F"/>
          <w:sz w:val="30"/>
          <w:szCs w:val="30"/>
        </w:rPr>
        <w:t xml:space="preserve">Opdracht 9.5 — Uw eigen organisatie (individueel huiswerk, 40 minuten)</w:t>
      </w:r>
    </w:p>
    <w:p>
      <w:pPr>
        <w:pStyle w:val="ListParagraph"/>
        <w:numPr>
          <w:ilvl w:val="0"/>
          <w:numId w:val="2"/>
        </w:numPr>
        <w:spacing w:after="100"/>
      </w:pPr>
      <w:r>
        <w:rPr>
          <w:b/>
          <w:bCs/>
          <w:color w:val="1F2937"/>
          <w:sz w:val="22"/>
          <w:szCs w:val="22"/>
        </w:rPr>
        <w:t xml:space="preserve">a)</w:t>
      </w:r>
      <w:r>
        <w:rPr>
          <w:color w:val="1F2937"/>
          <w:sz w:val="22"/>
          <w:szCs w:val="22"/>
        </w:rPr>
        <w:t xml:space="preserve"> Is er in uw organisatie ooit een architectuur geëvalueerd? Zo ja, wat leverde het op en wat is er met de bevindingen gebeurd?</w:t>
      </w:r>
    </w:p>
    <w:p>
      <w:pPr>
        <w:pStyle w:val="ListParagraph"/>
        <w:numPr>
          <w:ilvl w:val="0"/>
          <w:numId w:val="2"/>
        </w:numPr>
        <w:spacing w:after="100"/>
      </w:pPr>
      <w:r>
        <w:rPr>
          <w:b/>
          <w:bCs/>
          <w:color w:val="1F2937"/>
          <w:sz w:val="22"/>
          <w:szCs w:val="22"/>
        </w:rPr>
        <w:t xml:space="preserve">b)</w:t>
      </w:r>
      <w:r>
        <w:rPr>
          <w:color w:val="1F2937"/>
          <w:sz w:val="22"/>
          <w:szCs w:val="22"/>
        </w:rPr>
        <w:t xml:space="preserve"> Neem één architectuurrisico dat u in uw eigen systeem ziet. Classificeer het in de vier soorten en formuleer het zoals u het in een evaluatierapport zou opschrijven — met eigenaar en termijn.</w:t>
      </w:r>
    </w:p>
    <w:p>
      <w:pPr>
        <w:pStyle w:val="ListParagraph"/>
        <w:numPr>
          <w:ilvl w:val="0"/>
          <w:numId w:val="2"/>
        </w:numPr>
        <w:spacing w:after="100"/>
      </w:pPr>
      <w:r>
        <w:rPr>
          <w:b/>
          <w:bCs/>
          <w:color w:val="1F2937"/>
          <w:sz w:val="22"/>
          <w:szCs w:val="22"/>
        </w:rPr>
        <w:t xml:space="preserve">c)</w:t>
      </w:r>
      <w:r>
        <w:rPr>
          <w:color w:val="1F2937"/>
          <w:sz w:val="22"/>
          <w:szCs w:val="22"/>
        </w:rPr>
        <w:t xml:space="preserve"> Welke van de drie borgingslagen bestaat in uw organisatie? Wat is de zwakste plek?</w:t>
      </w:r>
    </w:p>
    <w:p>
      <w:pPr>
        <w:pStyle w:val="ListParagraph"/>
        <w:numPr>
          <w:ilvl w:val="0"/>
          <w:numId w:val="2"/>
        </w:numPr>
        <w:spacing w:after="100"/>
      </w:pPr>
      <w:r>
        <w:rPr>
          <w:b/>
          <w:bCs/>
          <w:color w:val="1F2937"/>
          <w:sz w:val="22"/>
          <w:szCs w:val="22"/>
        </w:rPr>
        <w:t xml:space="preserve">d)</w:t>
      </w:r>
      <w:r>
        <w:rPr>
          <w:color w:val="1F2937"/>
          <w:sz w:val="22"/>
          <w:szCs w:val="22"/>
        </w:rPr>
        <w:t xml:space="preserve"> Beschrijf één keer dat een kader in uw organisatie is gesneuveld onder tijdsdruk. Wat was er nodig geweest om het te laten standhouden — meer bevoegdheid, of een andere borgingslaag?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9.5</w:t>
            </w:r>
          </w:p>
          <w:p>
            <w:pPr>
              <w:spacing w:after="80"/>
            </w:pPr>
          </w:p>
          <w:p>
            <w:pPr>
              <w:spacing w:after="120" w:line="276"/>
            </w:pPr>
            <w:r>
              <w:rPr>
                <w:color w:val="1F2937"/>
                <w:sz w:val="21"/>
                <w:szCs w:val="21"/>
              </w:rPr>
              <w:t xml:space="preserve">Individueel. Bij a) is het meest voorkomende antwoord dat er nooit formeel is geëvalueerd, en dat wat erop lijkt — een audit, een security review, een leveranciersbeoordeling — een andere vraag beantwoordde.</w:t>
            </w:r>
          </w:p>
          <w:p>
            <w:pPr>
              <w:spacing w:after="120" w:line="276"/>
            </w:pPr>
            <w:r>
              <w:rPr>
                <w:color w:val="1F2937"/>
                <w:sz w:val="21"/>
                <w:szCs w:val="21"/>
              </w:rPr>
              <w:t xml:space="preserve">Bij d) blijkt de oorzaak zelden gebrek aan bevoegdheid. Vaker is het de borgingslaag: een kader dat in laag 3 zat (afgesproken en bewaakt door aanwezigheid) sneuvelt bij het eerste conflict tussen aandacht en deadline. Hetzelfde kader in laag 1 sneuvelt niet, omdat het niet van aandacht afhangt.</w:t>
            </w:r>
          </w:p>
          <w:p>
            <w:pPr>
              <w:spacing w:after="120" w:line="276"/>
            </w:pPr>
            <w:r>
              <w:rPr>
                <w:b/>
                <w:bCs/>
                <w:color w:val="1F2937"/>
                <w:sz w:val="21"/>
                <w:szCs w:val="21"/>
              </w:rPr>
              <w:t xml:space="preserve">Dat is de nuttigste conclusie van dit deel voor uw eigen praktijk: </w:t>
            </w:r>
            <w:r>
              <w:rPr>
                <w:color w:val="1F2937"/>
                <w:sz w:val="21"/>
                <w:szCs w:val="21"/>
              </w:rPr>
              <w:t xml:space="preserve">de vraag "hoe krijg ik meer mandaat" is meestal minder productief dan de vraag "welk kader kan ik naar een sterkere borgingslaag verplaatsen".</w:t>
            </w:r>
          </w:p>
        </w:tc>
      </w:tr>
    </w:tbl>
    <w:p>
      <w:pPr>
        <w:spacing w:after="300"/>
      </w:pPr>
    </w:p>
    <w:p>
      <w:pPr>
        <w:pStyle w:val="Heading1"/>
        <w:pBdr>
          <w:bottom w:val="single" w:color="E5E7EB" w:sz="6" w:space="6"/>
        </w:pBdr>
        <w:spacing w:after="180" w:before="380"/>
      </w:pPr>
      <w:r>
        <w:rPr>
          <w:b/>
          <w:bCs/>
          <w:color w:val="1F3A5F"/>
          <w:sz w:val="30"/>
          <w:szCs w:val="30"/>
        </w:rPr>
        <w:t xml:space="preserve">Opdracht 9.6 — Capstonedossier afronden (individueel, 30 minuten)</w:t>
      </w:r>
    </w:p>
    <w:p>
      <w:pPr>
        <w:spacing w:after="160" w:line="276"/>
      </w:pPr>
      <w:r>
        <w:rPr>
          <w:color w:val="1F2937"/>
          <w:sz w:val="22"/>
          <w:szCs w:val="22"/>
        </w:rPr>
        <w:t xml:space="preserve">Dit is uw laatste bewerking vóór de verdediging in deel 10.</w:t>
      </w:r>
    </w:p>
    <w:p>
      <w:pPr>
        <w:pStyle w:val="ListParagraph"/>
        <w:numPr>
          <w:ilvl w:val="0"/>
          <w:numId w:val="2"/>
        </w:numPr>
        <w:spacing w:after="100"/>
      </w:pPr>
      <w:r>
        <w:rPr>
          <w:b/>
          <w:bCs/>
          <w:color w:val="1F2937"/>
          <w:sz w:val="22"/>
          <w:szCs w:val="22"/>
        </w:rPr>
        <w:t xml:space="preserve">a)</w:t>
      </w:r>
      <w:r>
        <w:rPr>
          <w:color w:val="1F2937"/>
          <w:sz w:val="22"/>
          <w:szCs w:val="22"/>
        </w:rPr>
        <w:t xml:space="preserve"> Voeg de evaluatiebevindingen uit opdracht 9.2 toe, in de vier soorten, met eigenaar en termijn per risico.</w:t>
      </w:r>
    </w:p>
    <w:p>
      <w:pPr>
        <w:pStyle w:val="ListParagraph"/>
        <w:numPr>
          <w:ilvl w:val="0"/>
          <w:numId w:val="2"/>
        </w:numPr>
        <w:spacing w:after="100"/>
      </w:pPr>
      <w:r>
        <w:rPr>
          <w:b/>
          <w:bCs/>
          <w:color w:val="1F2937"/>
          <w:sz w:val="22"/>
          <w:szCs w:val="22"/>
        </w:rPr>
        <w:t xml:space="preserve">b)</w:t>
      </w:r>
      <w:r>
        <w:rPr>
          <w:color w:val="1F2937"/>
          <w:sz w:val="22"/>
          <w:szCs w:val="22"/>
        </w:rPr>
        <w:t xml:space="preserve"> Voeg uw borgingsmodel toe (opdracht 9.3), inclusief de samenstelling en het mandaat van het gremium.</w:t>
      </w:r>
    </w:p>
    <w:p>
      <w:pPr>
        <w:pStyle w:val="ListParagraph"/>
        <w:numPr>
          <w:ilvl w:val="0"/>
          <w:numId w:val="2"/>
        </w:numPr>
        <w:spacing w:after="100"/>
      </w:pPr>
      <w:r>
        <w:rPr>
          <w:b/>
          <w:bCs/>
          <w:color w:val="1F2937"/>
          <w:sz w:val="22"/>
          <w:szCs w:val="22"/>
        </w:rPr>
        <w:t xml:space="preserve">c)</w:t>
      </w:r>
      <w:r>
        <w:rPr>
          <w:color w:val="1F2937"/>
          <w:sz w:val="22"/>
          <w:szCs w:val="22"/>
        </w:rPr>
        <w:t xml:space="preserve"> Loop uw bevindingenregister een laatste keer na. Voor elke bevinding B1–B7 moet er staan: de maatregel, de handhaving, de eigenaar, en — nieuw — het restrisico: wat blijft er over dat uw maatregel niet afdekt?</w:t>
      </w:r>
    </w:p>
    <w:p>
      <w:pPr>
        <w:pStyle w:val="ListParagraph"/>
        <w:numPr>
          <w:ilvl w:val="0"/>
          <w:numId w:val="2"/>
        </w:numPr>
        <w:spacing w:after="100"/>
      </w:pPr>
      <w:r>
        <w:rPr>
          <w:b/>
          <w:bCs/>
          <w:color w:val="1F2937"/>
          <w:sz w:val="22"/>
          <w:szCs w:val="22"/>
        </w:rPr>
        <w:t xml:space="preserve">d)</w:t>
      </w:r>
      <w:r>
        <w:rPr>
          <w:color w:val="1F2937"/>
          <w:sz w:val="22"/>
          <w:szCs w:val="22"/>
        </w:rPr>
        <w:t xml:space="preserve"> Formuleer in maximaal 200 woorden uw kernboodschap voor de verdediging: als het panel maar één ding onthoudt van uw architectuur, wat is dat dan?</w:t>
      </w:r>
    </w:p>
    <w:p>
      <w:pPr>
        <w:spacing w:after="160" w:line="276"/>
      </w:pPr>
      <w:r>
        <w:rPr>
          <w:color w:val="1F2937"/>
          <w:sz w:val="22"/>
          <w:szCs w:val="22"/>
        </w:rPr>
        <w:t xml:space="preserve">Onderdeel c) is het onderdeel waarop in deel 10 het scherpst wordt doorgevraagd. Een maatregel zonder benoemd restrisico wekt de indruk dat u het probleem voor opgelost houdt.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9.6</w:t>
            </w:r>
          </w:p>
          <w:p>
            <w:pPr>
              <w:spacing w:after="80"/>
            </w:pPr>
          </w:p>
          <w:p>
            <w:pPr>
              <w:spacing w:after="120" w:line="276"/>
            </w:pPr>
            <w:r>
              <w:rPr>
                <w:b/>
                <w:bCs/>
                <w:color w:val="1F2937"/>
                <w:sz w:val="21"/>
                <w:szCs w:val="21"/>
              </w:rPr>
              <w:t xml:space="preserve">c) Het restrisico. </w:t>
            </w:r>
            <w:r>
              <w:rPr>
                <w:color w:val="1F2937"/>
                <w:sz w:val="21"/>
                <w:szCs w:val="21"/>
              </w:rPr>
              <w:t xml:space="preserve">Voorbeelden van goed geformuleerde restrisico's per bevinding:</w:t>
            </w:r>
          </w:p>
          <w:p>
            <w:pPr>
              <w:pStyle w:val="ListParagraph"/>
              <w:numPr>
                <w:ilvl w:val="0"/>
                <w:numId w:val="2"/>
              </w:numPr>
              <w:spacing w:after="100"/>
            </w:pPr>
            <w:r>
              <w:rPr>
                <w:b/>
                <w:bCs/>
                <w:color w:val="1F2937"/>
                <w:sz w:val="21"/>
                <w:szCs w:val="21"/>
              </w:rPr>
              <w:t xml:space="preserve">B1:</w:t>
            </w:r>
            <w:r>
              <w:rPr>
                <w:color w:val="1F2937"/>
                <w:sz w:val="21"/>
                <w:szCs w:val="21"/>
              </w:rPr>
              <w:t xml:space="preserve"> ADR's leggen vast wat als beslissing wordt herkend. Beslissingen die niemand als beslissing ziet, ontsnappen — het significantiecriterium verkleint dat, maar sluit het niet.</w:t>
            </w:r>
          </w:p>
          <w:p>
            <w:pPr>
              <w:pStyle w:val="ListParagraph"/>
              <w:numPr>
                <w:ilvl w:val="0"/>
                <w:numId w:val="2"/>
              </w:numPr>
              <w:spacing w:after="100"/>
            </w:pPr>
            <w:r>
              <w:rPr>
                <w:b/>
                <w:bCs/>
                <w:color w:val="1F2937"/>
                <w:sz w:val="21"/>
                <w:szCs w:val="21"/>
              </w:rPr>
              <w:t xml:space="preserve">B2:</w:t>
            </w:r>
            <w:r>
              <w:rPr>
                <w:color w:val="1F2937"/>
                <w:sz w:val="21"/>
                <w:szCs w:val="21"/>
              </w:rPr>
              <w:t xml:space="preserve"> scenario's dekken wat we hebben bedacht. Een eis die niemand stelde, staat er niet in.</w:t>
            </w:r>
          </w:p>
          <w:p>
            <w:pPr>
              <w:pStyle w:val="ListParagraph"/>
              <w:numPr>
                <w:ilvl w:val="0"/>
                <w:numId w:val="2"/>
              </w:numPr>
              <w:spacing w:after="100"/>
            </w:pPr>
            <w:r>
              <w:rPr>
                <w:b/>
                <w:bCs/>
                <w:color w:val="1F2937"/>
                <w:sz w:val="21"/>
                <w:szCs w:val="21"/>
              </w:rPr>
              <w:t xml:space="preserve">B4:</w:t>
            </w:r>
            <w:r>
              <w:rPr>
                <w:color w:val="1F2937"/>
                <w:sz w:val="21"/>
                <w:szCs w:val="21"/>
              </w:rPr>
              <w:t xml:space="preserve"> de distributiekeuze is verantwoord tegen de huidige situatie; als de herzieningsgrens niet actief wordt bewaakt, verstrijkt zij ongemerkt.</w:t>
            </w:r>
          </w:p>
          <w:p>
            <w:pPr>
              <w:pStyle w:val="ListParagraph"/>
              <w:numPr>
                <w:ilvl w:val="0"/>
                <w:numId w:val="2"/>
              </w:numPr>
              <w:spacing w:after="100"/>
            </w:pPr>
            <w:r>
              <w:rPr>
                <w:b/>
                <w:bCs/>
                <w:color w:val="1F2937"/>
                <w:sz w:val="21"/>
                <w:szCs w:val="21"/>
              </w:rPr>
              <w:t xml:space="preserve">B7:</w:t>
            </w:r>
            <w:r>
              <w:rPr>
                <w:color w:val="1F2937"/>
                <w:sz w:val="21"/>
                <w:szCs w:val="21"/>
              </w:rPr>
              <w:t xml:space="preserve"> het datumconcept berust op afspraak omdat het niet te automatiseren is. Dat blijft de zwakste plek van het hele ontwerp.</w:t>
            </w:r>
          </w:p>
          <w:p>
            <w:pPr>
              <w:spacing w:after="120" w:line="276"/>
            </w:pPr>
            <w:r>
              <w:rPr>
                <w:color w:val="1F2937"/>
                <w:sz w:val="21"/>
                <w:szCs w:val="21"/>
              </w:rPr>
              <w:t xml:space="preserve">Een dossier waarin bij elke bevinding "afgedekt" staat zonder restrisico, is in deel 10 het makkelijkst aan te vallen — en terecht.</w:t>
            </w:r>
          </w:p>
          <w:p>
            <w:pPr>
              <w:spacing w:after="120" w:line="276"/>
            </w:pPr>
            <w:r>
              <w:rPr>
                <w:b/>
                <w:bCs/>
                <w:color w:val="1F2937"/>
                <w:sz w:val="21"/>
                <w:szCs w:val="21"/>
              </w:rPr>
              <w:t xml:space="preserve">d) De kernboodschap. </w:t>
            </w:r>
            <w:r>
              <w:rPr>
                <w:color w:val="1F2937"/>
                <w:sz w:val="21"/>
                <w:szCs w:val="21"/>
              </w:rPr>
              <w:t xml:space="preserve">Sterke kernboodschappen zijn concreet en verwijzen naar een drijver of een bevinding. Zwakke kernboodschappen zijn methodenamen.</w:t>
            </w:r>
          </w:p>
          <w:p>
            <w:pPr>
              <w:spacing w:after="120" w:line="276"/>
            </w:pPr>
            <w:r>
              <w:rPr>
                <w:i/>
                <w:iCs/>
                <w:color w:val="1F2937"/>
                <w:sz w:val="21"/>
                <w:szCs w:val="21"/>
              </w:rPr>
              <w:t xml:space="preserve">Ter kalibratie, een sterke variant: “De belangrijkste keuze is dat wij de mutatiegeschiedenis als bron nemen in plaats van als bijproduct. Dat maakt de aantoonbaarheid die de toezichthouder vraagt tot een eigenschap van het systeem in plaats van een voorziening ernaast — en het is precies wat in Mutatie 1.0 ontbrak.”</w:t>
            </w:r>
          </w:p>
          <w:p>
            <w:pPr>
              <w:spacing w:after="120" w:line="276"/>
            </w:pPr>
            <w:r>
              <w:rPr>
                <w:i/>
                <w:iCs/>
                <w:color w:val="1F2937"/>
                <w:sz w:val="21"/>
                <w:szCs w:val="21"/>
              </w:rPr>
              <w:t xml:space="preserve">Een zwakke variant: “Wij hebben gekozen voor een hexagonale modulith met event sourcing.” Dat is een opsomming, geen boodschap.</w:t>
            </w:r>
          </w:p>
        </w:tc>
      </w:tr>
    </w:tbl>
    <w:p>
      <w:pPr>
        <w:pBdr>
          <w:top w:val="single" w:color="E5E7EB" w:sz="4" w:space="8"/>
        </w:pBdr>
        <w:spacing w:before="400"/>
        <w:jc w:val="center"/>
      </w:pPr>
      <w:r>
        <w:rPr>
          <w:i/>
          <w:iCs/>
          <w:color w:val="6B7280"/>
          <w:sz w:val="17"/>
          <w:szCs w:val="17"/>
        </w:rPr>
        <w:t xml:space="preserve">Ductus B.V. · Cursus Softwarearchitectuur · Niveau 1, deel 9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9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2026-08-17T14:09:25.835Z</dcterms:created>
  <dcterms:modified xsi:type="dcterms:W3CDTF">2026-08-17T14:09:25.836Z</dcterms:modified>
</cp:coreProperties>
</file>

<file path=docProps/custom.xml><?xml version="1.0" encoding="utf-8"?>
<Properties xmlns="http://schemas.openxmlformats.org/officeDocument/2006/custom-properties" xmlns:vt="http://schemas.openxmlformats.org/officeDocument/2006/docPropsVTypes"/>
</file>