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10 — Examentraining en capstoneverdediging</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10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heeft twee helften die weinig met elkaar te maken hebben en die u niet moet mengen:</w:t>
      </w:r>
    </w:p>
    <w:p>
      <w:pPr>
        <w:pStyle w:val="ListParagraph"/>
        <w:numPr>
          <w:ilvl w:val="0"/>
          <w:numId w:val="2"/>
        </w:numPr>
        <w:spacing w:after="100"/>
      </w:pPr>
      <w:r>
        <w:rPr>
          <w:b/>
          <w:bCs/>
          <w:color w:val="1F2937"/>
          <w:sz w:val="22"/>
          <w:szCs w:val="22"/>
        </w:rPr>
        <w:t xml:space="preserve">De ochtend is examenvoorbereiding.</w:t>
      </w:r>
      <w:r>
        <w:rPr>
          <w:color w:val="1F2937"/>
          <w:sz w:val="22"/>
          <w:szCs w:val="22"/>
        </w:rPr>
        <w:t xml:space="preserve"> Praktisch, feitelijk, zonder casus. Deelnemers willen weten waar ze staan.</w:t>
      </w:r>
    </w:p>
    <w:p>
      <w:pPr>
        <w:pStyle w:val="ListParagraph"/>
        <w:numPr>
          <w:ilvl w:val="0"/>
          <w:numId w:val="2"/>
        </w:numPr>
        <w:spacing w:after="100"/>
      </w:pPr>
      <w:r>
        <w:rPr>
          <w:b/>
          <w:bCs/>
          <w:color w:val="1F2937"/>
          <w:sz w:val="22"/>
          <w:szCs w:val="22"/>
        </w:rPr>
        <w:t xml:space="preserve">De middag is de verdediging.</w:t>
      </w:r>
      <w:r>
        <w:rPr>
          <w:color w:val="1F2937"/>
          <w:sz w:val="22"/>
          <w:szCs w:val="22"/>
        </w:rPr>
        <w:t xml:space="preserve"> Persoonlijk, spannend, en het inhoudelijke sluitstuk van tien delen.</w:t>
      </w:r>
    </w:p>
    <w:p>
      <w:pPr>
        <w:spacing w:after="160" w:line="276"/>
      </w:pPr>
      <w:r>
        <w:rPr>
          <w:b/>
          <w:bCs/>
          <w:color w:val="1F2937"/>
          <w:sz w:val="22"/>
          <w:szCs w:val="22"/>
        </w:rPr>
        <w:t xml:space="preserve">Het planningsprobleem.</w:t>
      </w:r>
      <w:r>
        <w:rPr>
          <w:color w:val="1F2937"/>
          <w:sz w:val="22"/>
          <w:szCs w:val="22"/>
        </w:rPr>
        <w:t xml:space="preserve"> Bij twintig minuten per deelnemer past de verdediging bij zes deelnemers in twee uur. Bij meer dan acht deelnemers past dit deel niet in één dagdeel. Drie werkbare varianten:</w:t>
      </w:r>
    </w:p>
    <w:p>
      <w:pPr>
        <w:pStyle w:val="ListParagraph"/>
        <w:numPr>
          <w:ilvl w:val="0"/>
          <w:numId w:val="3"/>
        </w:numPr>
        <w:spacing w:after="120"/>
      </w:pPr>
      <w:r>
        <w:rPr>
          <w:b/>
          <w:bCs/>
          <w:color w:val="1F2937"/>
          <w:sz w:val="22"/>
          <w:szCs w:val="22"/>
        </w:rPr>
        <w:t xml:space="preserve">Twee dagdelen</w:t>
      </w:r>
      <w:r>
        <w:rPr>
          <w:color w:val="1F2937"/>
          <w:sz w:val="22"/>
          <w:szCs w:val="22"/>
        </w:rPr>
        <w:t xml:space="preserve"> — examentraining apart, verdediging apart. De beste optie bij groepen boven de acht en de meest gekozen variant bij klanten.</w:t>
      </w:r>
    </w:p>
    <w:p>
      <w:pPr>
        <w:pStyle w:val="ListParagraph"/>
        <w:numPr>
          <w:ilvl w:val="0"/>
          <w:numId w:val="3"/>
        </w:numPr>
        <w:spacing w:after="120"/>
      </w:pPr>
      <w:r>
        <w:rPr>
          <w:b/>
          <w:bCs/>
          <w:color w:val="1F2937"/>
          <w:sz w:val="22"/>
          <w:szCs w:val="22"/>
        </w:rPr>
        <w:t xml:space="preserve">Parallelle panels</w:t>
      </w:r>
      <w:r>
        <w:rPr>
          <w:color w:val="1F2937"/>
          <w:sz w:val="22"/>
          <w:szCs w:val="22"/>
        </w:rPr>
        <w:t xml:space="preserve"> — twee panels in aparte ruimtes, elk met vier deelnemers als panelleden. Werkt goed en halveert de tijd; nadeel is dat u niet bij beide bent.</w:t>
      </w:r>
    </w:p>
    <w:p>
      <w:pPr>
        <w:pStyle w:val="ListParagraph"/>
        <w:numPr>
          <w:ilvl w:val="0"/>
          <w:numId w:val="3"/>
        </w:numPr>
        <w:spacing w:after="120"/>
      </w:pPr>
      <w:r>
        <w:rPr>
          <w:b/>
          <w:bCs/>
          <w:color w:val="1F2937"/>
          <w:sz w:val="22"/>
          <w:szCs w:val="22"/>
        </w:rPr>
        <w:t xml:space="preserve">Verdediging in tweetallen</w:t>
      </w:r>
      <w:r>
        <w:rPr>
          <w:color w:val="1F2937"/>
          <w:sz w:val="22"/>
          <w:szCs w:val="22"/>
        </w:rPr>
        <w:t xml:space="preserve"> — twee deelnemers verdedigen samen één schets. Alleen doen als het echt niet anders kan; het verdunt de individuele beoordeling.</w:t>
      </w:r>
    </w:p>
    <w:p>
      <w:pPr>
        <w:spacing w:after="160" w:line="276"/>
      </w:pPr>
      <w:r>
        <w:rPr>
          <w:b/>
          <w:bCs/>
          <w:color w:val="1F2937"/>
          <w:sz w:val="22"/>
          <w:szCs w:val="22"/>
        </w:rPr>
        <w:t xml:space="preserve">De belangrijkste taak van de middag</w:t>
      </w:r>
      <w:r>
        <w:rPr>
          <w:color w:val="1F2937"/>
          <w:sz w:val="22"/>
          <w:szCs w:val="22"/>
        </w:rPr>
        <w:t xml:space="preserve"> is niet beoordelen maar zorgen dat elke deelnemer met iets bruikbaars weggaat. Dit is de laatste keer dat u ze ziet. De twee minuten terugkoppeling per verdediging zijn daarom niet optioneel.</w:t>
      </w:r>
    </w:p>
    <w:p>
      <w:pPr>
        <w:pStyle w:val="Heading1"/>
        <w:pBdr>
          <w:bottom w:val="single" w:color="E5E7EB" w:sz="6" w:space="6"/>
        </w:pBdr>
        <w:spacing w:after="180" w:before="380"/>
      </w:pPr>
      <w:r>
        <w:rPr>
          <w:b/>
          <w:bCs/>
          <w:color w:val="1F3A5F"/>
          <w:sz w:val="30"/>
          <w:szCs w:val="30"/>
        </w:rPr>
        <w:t xml:space="preserve">2. Dagdeelplanning</w:t>
      </w:r>
    </w:p>
    <w:p>
      <w:pPr>
        <w:pStyle w:val="Heading2"/>
        <w:spacing w:after="140" w:before="260"/>
      </w:pPr>
      <w:r>
        <w:rPr>
          <w:b/>
          <w:bCs/>
          <w:color w:val="4A6789"/>
          <w:sz w:val="24"/>
          <w:szCs w:val="24"/>
        </w:rPr>
        <w:t xml:space="preserve">Variant A — één dagdeel, maximaal zes deelnemers</w:t>
      </w: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700"/>
        <w:gridCol w:w="5738"/>
        <w:gridCol w:w="1500"/>
      </w:tblGrid>
      <w:tr>
        <w:trPr>
          <w:tblHeader/>
        </w:trPr>
        <w:tc>
          <w:tcPr>
            <w:tcW w:type="dxa" w:w="17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5738"/>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15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0:00–0:15</w:t>
            </w:r>
          </w:p>
        </w:tc>
        <w:tc>
          <w:tcPr>
            <w:tcW w:type="dxa" w:w="5738"/>
            <w:tcMar>
              <w:top w:type="dxa" w:w="100"/>
              <w:left w:type="dxa" w:w="120"/>
              <w:bottom w:type="dxa" w:w="100"/>
              <w:right w:type="dxa" w:w="120"/>
            </w:tcMar>
            <w:vAlign w:val="center"/>
          </w:tcPr>
          <w:p>
            <w:r>
              <w:rPr>
                <w:b w:val="false"/>
                <w:bCs w:val="false"/>
                <w:color w:val="1F2937"/>
                <w:sz w:val="19"/>
                <w:szCs w:val="19"/>
              </w:rPr>
              <w:t xml:space="preserve">Opzet van de dag; het examen: opzet en vraagvormen</w:t>
            </w:r>
          </w:p>
        </w:tc>
        <w:tc>
          <w:tcPr>
            <w:tcW w:type="dxa" w:w="1500"/>
            <w:tcMar>
              <w:top w:type="dxa" w:w="100"/>
              <w:left w:type="dxa" w:w="120"/>
              <w:bottom w:type="dxa" w:w="100"/>
              <w:right w:type="dxa" w:w="120"/>
            </w:tcMar>
            <w:vAlign w:val="center"/>
          </w:tcPr>
          <w:p>
            <w:r>
              <w:rPr>
                <w:b w:val="false"/>
                <w:bCs w:val="false"/>
                <w:color w:val="1F2937"/>
                <w:sz w:val="19"/>
                <w:szCs w:val="19"/>
              </w:rPr>
              <w:t xml:space="preserve">2–7</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0:15–0:55</w:t>
            </w:r>
          </w:p>
        </w:tc>
        <w:tc>
          <w:tcPr>
            <w:tcW w:type="dxa" w:w="5738"/>
            <w:tcMar>
              <w:top w:type="dxa" w:w="100"/>
              <w:left w:type="dxa" w:w="120"/>
              <w:bottom w:type="dxa" w:w="100"/>
              <w:right w:type="dxa" w:w="120"/>
            </w:tcMar>
            <w:vAlign w:val="center"/>
          </w:tcPr>
          <w:p>
            <w:r>
              <w:rPr>
                <w:b w:val="false"/>
                <w:bCs w:val="false"/>
                <w:color w:val="1F2937"/>
                <w:sz w:val="19"/>
                <w:szCs w:val="19"/>
              </w:rPr>
              <w:t xml:space="preserve">Opdracht 10.1 — oefenexamen, onder examenomstandigheden</w:t>
            </w:r>
          </w:p>
        </w:tc>
        <w:tc>
          <w:tcPr>
            <w:tcW w:type="dxa" w:w="1500"/>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0:55–1:20</w:t>
            </w:r>
          </w:p>
        </w:tc>
        <w:tc>
          <w:tcPr>
            <w:tcW w:type="dxa" w:w="5738"/>
            <w:tcMar>
              <w:top w:type="dxa" w:w="100"/>
              <w:left w:type="dxa" w:w="120"/>
              <w:bottom w:type="dxa" w:w="100"/>
              <w:right w:type="dxa" w:w="120"/>
            </w:tcMar>
            <w:vAlign w:val="center"/>
          </w:tcPr>
          <w:p>
            <w:r>
              <w:rPr>
                <w:b w:val="false"/>
                <w:bCs w:val="false"/>
                <w:color w:val="1F2937"/>
                <w:sz w:val="19"/>
                <w:szCs w:val="19"/>
              </w:rPr>
              <w:t xml:space="preserve">Nakijken plenair; opdracht 10.2 foutenanalyse; zelftoets</w:t>
            </w:r>
          </w:p>
        </w:tc>
        <w:tc>
          <w:tcPr>
            <w:tcW w:type="dxa" w:w="1500"/>
            <w:tcMar>
              <w:top w:type="dxa" w:w="100"/>
              <w:left w:type="dxa" w:w="120"/>
              <w:bottom w:type="dxa" w:w="100"/>
              <w:right w:type="dxa" w:w="120"/>
            </w:tcMar>
            <w:vAlign w:val="center"/>
          </w:tcPr>
          <w:p>
            <w:r>
              <w:rPr>
                <w:b w:val="false"/>
                <w:bCs w:val="false"/>
                <w:color w:val="1F2937"/>
                <w:sz w:val="19"/>
                <w:szCs w:val="19"/>
              </w:rPr>
              <w:t xml:space="preserve">9–10</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1:20–1:30</w:t>
            </w:r>
          </w:p>
        </w:tc>
        <w:tc>
          <w:tcPr>
            <w:tcW w:type="dxa" w:w="5738"/>
            <w:tcMar>
              <w:top w:type="dxa" w:w="100"/>
              <w:left w:type="dxa" w:w="120"/>
              <w:bottom w:type="dxa" w:w="100"/>
              <w:right w:type="dxa" w:w="120"/>
            </w:tcMar>
            <w:vAlign w:val="center"/>
          </w:tcPr>
          <w:p>
            <w:r>
              <w:rPr>
                <w:b w:val="false"/>
                <w:bCs w:val="false"/>
                <w:color w:val="1F2937"/>
                <w:sz w:val="19"/>
                <w:szCs w:val="19"/>
              </w:rPr>
              <w:t xml:space="preserve">Pauze</w:t>
            </w:r>
          </w:p>
        </w:tc>
        <w:tc>
          <w:tcPr>
            <w:tcW w:type="dxa" w:w="15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1:30–1:55</w:t>
            </w:r>
          </w:p>
        </w:tc>
        <w:tc>
          <w:tcPr>
            <w:tcW w:type="dxa" w:w="5738"/>
            <w:tcMar>
              <w:top w:type="dxa" w:w="100"/>
              <w:left w:type="dxa" w:w="120"/>
              <w:bottom w:type="dxa" w:w="100"/>
              <w:right w:type="dxa" w:w="120"/>
            </w:tcMar>
            <w:vAlign w:val="center"/>
          </w:tcPr>
          <w:p>
            <w:r>
              <w:rPr>
                <w:b w:val="false"/>
                <w:bCs w:val="false"/>
                <w:color w:val="1F2937"/>
                <w:sz w:val="19"/>
                <w:szCs w:val="19"/>
              </w:rPr>
              <w:t xml:space="preserve">De verdediging: opzet, criteria, omgaan met kritiek</w:t>
            </w:r>
          </w:p>
        </w:tc>
        <w:tc>
          <w:tcPr>
            <w:tcW w:type="dxa" w:w="1500"/>
            <w:tcMar>
              <w:top w:type="dxa" w:w="100"/>
              <w:left w:type="dxa" w:w="120"/>
              <w:bottom w:type="dxa" w:w="100"/>
              <w:right w:type="dxa" w:w="120"/>
            </w:tcMar>
            <w:vAlign w:val="center"/>
          </w:tcPr>
          <w:p>
            <w:r>
              <w:rPr>
                <w:b w:val="false"/>
                <w:bCs w:val="false"/>
                <w:color w:val="1F2937"/>
                <w:sz w:val="19"/>
                <w:szCs w:val="19"/>
              </w:rPr>
              <w:t xml:space="preserve">11–19</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1:55–2:20</w:t>
            </w:r>
          </w:p>
        </w:tc>
        <w:tc>
          <w:tcPr>
            <w:tcW w:type="dxa" w:w="5738"/>
            <w:tcMar>
              <w:top w:type="dxa" w:w="100"/>
              <w:left w:type="dxa" w:w="120"/>
              <w:bottom w:type="dxa" w:w="100"/>
              <w:right w:type="dxa" w:w="120"/>
            </w:tcMar>
            <w:vAlign w:val="center"/>
          </w:tcPr>
          <w:p>
            <w:r>
              <w:rPr>
                <w:b w:val="false"/>
                <w:bCs w:val="false"/>
                <w:color w:val="1F2937"/>
                <w:sz w:val="19"/>
                <w:szCs w:val="19"/>
              </w:rPr>
              <w:t xml:space="preserve">Opdracht 10.3 — voorbereiden</w:t>
            </w:r>
          </w:p>
        </w:tc>
        <w:tc>
          <w:tcPr>
            <w:tcW w:type="dxa" w:w="1500"/>
            <w:tcMar>
              <w:top w:type="dxa" w:w="100"/>
              <w:left w:type="dxa" w:w="120"/>
              <w:bottom w:type="dxa" w:w="100"/>
              <w:right w:type="dxa" w:w="120"/>
            </w:tcMar>
            <w:vAlign w:val="center"/>
          </w:tcPr>
          <w:p>
            <w:r>
              <w:rPr>
                <w:b w:val="false"/>
                <w:bCs w:val="false"/>
                <w:color w:val="1F2937"/>
                <w:sz w:val="19"/>
                <w:szCs w:val="19"/>
              </w:rPr>
              <w:t xml:space="preserve">20</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2:20–2:30</w:t>
            </w:r>
          </w:p>
        </w:tc>
        <w:tc>
          <w:tcPr>
            <w:tcW w:type="dxa" w:w="5738"/>
            <w:tcMar>
              <w:top w:type="dxa" w:w="100"/>
              <w:left w:type="dxa" w:w="120"/>
              <w:bottom w:type="dxa" w:w="100"/>
              <w:right w:type="dxa" w:w="120"/>
            </w:tcMar>
            <w:vAlign w:val="center"/>
          </w:tcPr>
          <w:p>
            <w:r>
              <w:rPr>
                <w:b w:val="false"/>
                <w:bCs w:val="false"/>
                <w:color w:val="1F2937"/>
                <w:sz w:val="19"/>
                <w:szCs w:val="19"/>
              </w:rPr>
              <w:t xml:space="preserve">Pauze</w:t>
            </w:r>
          </w:p>
        </w:tc>
        <w:tc>
          <w:tcPr>
            <w:tcW w:type="dxa" w:w="15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2:30–3:40</w:t>
            </w:r>
          </w:p>
        </w:tc>
        <w:tc>
          <w:tcPr>
            <w:tcW w:type="dxa" w:w="5738"/>
            <w:tcMar>
              <w:top w:type="dxa" w:w="100"/>
              <w:left w:type="dxa" w:w="120"/>
              <w:bottom w:type="dxa" w:w="100"/>
              <w:right w:type="dxa" w:w="120"/>
            </w:tcMar>
            <w:vAlign w:val="center"/>
          </w:tcPr>
          <w:p>
            <w:r>
              <w:rPr>
                <w:b w:val="false"/>
                <w:bCs w:val="false"/>
                <w:color w:val="1F2937"/>
                <w:sz w:val="19"/>
                <w:szCs w:val="19"/>
              </w:rPr>
              <w:t xml:space="preserve">Opdracht 10.4 — verdedigingen (6 × ~11 min effectief bij strak tempo)</w:t>
            </w:r>
          </w:p>
        </w:tc>
        <w:tc>
          <w:tcPr>
            <w:tcW w:type="dxa" w:w="1500"/>
            <w:tcMar>
              <w:top w:type="dxa" w:w="100"/>
              <w:left w:type="dxa" w:w="120"/>
              <w:bottom w:type="dxa" w:w="100"/>
              <w:right w:type="dxa" w:w="120"/>
            </w:tcMar>
            <w:vAlign w:val="center"/>
          </w:tcPr>
          <w:p>
            <w:r>
              <w:rPr>
                <w:b w:val="false"/>
                <w:bCs w:val="false"/>
                <w:color w:val="1F2937"/>
                <w:sz w:val="19"/>
                <w:szCs w:val="19"/>
              </w:rPr>
              <w:t xml:space="preserve">21</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3:40–3:55</w:t>
            </w:r>
          </w:p>
        </w:tc>
        <w:tc>
          <w:tcPr>
            <w:tcW w:type="dxa" w:w="5738"/>
            <w:tcMar>
              <w:top w:type="dxa" w:w="100"/>
              <w:left w:type="dxa" w:w="120"/>
              <w:bottom w:type="dxa" w:w="100"/>
              <w:right w:type="dxa" w:w="120"/>
            </w:tcMar>
            <w:vAlign w:val="center"/>
          </w:tcPr>
          <w:p>
            <w:r>
              <w:rPr>
                <w:b w:val="false"/>
                <w:bCs w:val="false"/>
                <w:color w:val="1F2937"/>
                <w:sz w:val="19"/>
                <w:szCs w:val="19"/>
              </w:rPr>
              <w:t xml:space="preserve">De terugblik; opdracht 10.5; positioneringsverklaringen openen</w:t>
            </w:r>
          </w:p>
        </w:tc>
        <w:tc>
          <w:tcPr>
            <w:tcW w:type="dxa" w:w="1500"/>
            <w:tcMar>
              <w:top w:type="dxa" w:w="100"/>
              <w:left w:type="dxa" w:w="120"/>
              <w:bottom w:type="dxa" w:w="100"/>
              <w:right w:type="dxa" w:w="120"/>
            </w:tcMar>
            <w:vAlign w:val="center"/>
          </w:tcPr>
          <w:p>
            <w:r>
              <w:rPr>
                <w:b w:val="false"/>
                <w:bCs w:val="false"/>
                <w:color w:val="1F2937"/>
                <w:sz w:val="19"/>
                <w:szCs w:val="19"/>
              </w:rPr>
              <w:t xml:space="preserve">22–27</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3:55–4:00</w:t>
            </w:r>
          </w:p>
        </w:tc>
        <w:tc>
          <w:tcPr>
            <w:tcW w:type="dxa" w:w="5738"/>
            <w:tcMar>
              <w:top w:type="dxa" w:w="100"/>
              <w:left w:type="dxa" w:w="120"/>
              <w:bottom w:type="dxa" w:w="100"/>
              <w:right w:type="dxa" w:w="120"/>
            </w:tcMar>
            <w:vAlign w:val="center"/>
          </w:tcPr>
          <w:p>
            <w:r>
              <w:rPr>
                <w:b w:val="false"/>
                <w:bCs w:val="false"/>
                <w:color w:val="1F2937"/>
                <w:sz w:val="19"/>
                <w:szCs w:val="19"/>
              </w:rPr>
              <w:t xml:space="preserve">Verder na dit niveau; afsluiting</w:t>
            </w:r>
          </w:p>
        </w:tc>
        <w:tc>
          <w:tcPr>
            <w:tcW w:type="dxa" w:w="1500"/>
            <w:tcMar>
              <w:top w:type="dxa" w:w="100"/>
              <w:left w:type="dxa" w:w="120"/>
              <w:bottom w:type="dxa" w:w="100"/>
              <w:right w:type="dxa" w:w="120"/>
            </w:tcMar>
            <w:vAlign w:val="center"/>
          </w:tcPr>
          <w:p>
            <w:r>
              <w:rPr>
                <w:b w:val="false"/>
                <w:bCs w:val="false"/>
                <w:color w:val="1F2937"/>
                <w:sz w:val="19"/>
                <w:szCs w:val="19"/>
              </w:rPr>
              <w:t xml:space="preserve">28</w:t>
            </w:r>
          </w:p>
        </w:tc>
      </w:tr>
    </w:tbl>
    <w:p>
      <w:pPr>
        <w:spacing w:after="300"/>
      </w:pPr>
    </w:p>
    <w:p>
      <w:pPr>
        <w:pStyle w:val="Heading2"/>
        <w:spacing w:after="140" w:before="260"/>
      </w:pPr>
      <w:r>
        <w:rPr>
          <w:b/>
          <w:bCs/>
          <w:color w:val="4A6789"/>
          <w:sz w:val="24"/>
          <w:szCs w:val="24"/>
        </w:rPr>
        <w:t xml:space="preserve">Variant B — twee dagdelen</w:t>
      </w:r>
    </w:p>
    <w:p>
      <w:pPr>
        <w:spacing w:after="160" w:line="276"/>
      </w:pPr>
      <w:r>
        <w:rPr>
          <w:color w:val="1F2937"/>
          <w:sz w:val="22"/>
          <w:szCs w:val="22"/>
        </w:rPr>
        <w:t xml:space="preserve">Dagdeel 1: examentraining (slides 2–10), plus een tweede oefenronde met de vragen uit het officiële curriculum, plus opdracht 10.3 als voorbereiding.</w:t>
      </w:r>
    </w:p>
    <w:p>
      <w:pPr>
        <w:spacing w:after="160" w:line="276"/>
      </w:pPr>
      <w:r>
        <w:rPr>
          <w:color w:val="1F2937"/>
          <w:sz w:val="22"/>
          <w:szCs w:val="22"/>
        </w:rPr>
        <w:t xml:space="preserve">Dagdeel 2: verdediging (slides 11–21), terugblik en afsluiting (slides 22–28), met 20 volle minuten per deelnemer.</w:t>
      </w:r>
    </w:p>
    <w:p>
      <w:pPr>
        <w:spacing w:after="160" w:line="276"/>
      </w:pPr>
      <w:r>
        <w:rPr>
          <w:b/>
          <w:bCs/>
          <w:color w:val="1F2937"/>
          <w:sz w:val="22"/>
          <w:szCs w:val="22"/>
        </w:rPr>
        <w:t xml:space="preserve">Wat u nooit schrapt: </w:t>
      </w:r>
      <w:r>
        <w:rPr>
          <w:color w:val="1F2937"/>
          <w:sz w:val="22"/>
          <w:szCs w:val="22"/>
        </w:rPr>
        <w:t xml:space="preserve">de terugkoppeling per verdediging, en het openen van de positioneringsverklaringen. Dat laatste kost vijf minuten en is het emotionele sluitstuk van het niveau.</w:t>
      </w:r>
    </w:p>
    <w:p>
      <w:pPr>
        <w:pStyle w:val="Heading1"/>
        <w:pBdr>
          <w:bottom w:val="single" w:color="E5E7EB" w:sz="6" w:space="6"/>
        </w:pBdr>
        <w:spacing w:after="180" w:before="380"/>
      </w:pPr>
      <w:r>
        <w:rPr>
          <w:b/>
          <w:bCs/>
          <w:color w:val="1F3A5F"/>
          <w:sz w:val="30"/>
          <w:szCs w:val="30"/>
        </w:rPr>
        <w:t xml:space="preserve">3. De ochtend: examentraining</w:t>
      </w:r>
    </w:p>
    <w:p>
      <w:pPr>
        <w:pStyle w:val="Heading2"/>
        <w:spacing w:after="140" w:before="260"/>
      </w:pPr>
      <w:r>
        <w:rPr>
          <w:b/>
          <w:bCs/>
          <w:color w:val="4A6789"/>
          <w:sz w:val="24"/>
          <w:szCs w:val="24"/>
        </w:rPr>
        <w:t xml:space="preserve">3.1 Opzet en vraagvormen (slides 3–7)</w:t>
      </w:r>
    </w:p>
    <w:p>
      <w:pPr>
        <w:spacing w:after="160" w:line="276"/>
      </w:pPr>
      <w:r>
        <w:rPr>
          <w:b/>
          <w:bCs/>
          <w:color w:val="1F2937"/>
          <w:sz w:val="22"/>
          <w:szCs w:val="22"/>
        </w:rPr>
        <w:t xml:space="preserve">Wees expliciet over wat u niet weet.</w:t>
      </w:r>
      <w:r>
        <w:rPr>
          <w:color w:val="1F2937"/>
          <w:sz w:val="22"/>
          <w:szCs w:val="22"/>
        </w:rPr>
        <w:t xml:space="preserve"> De precieze duur, het aantal vragen en de slaagdrempel kunnen per curriculumversie en per examenbureau verschillen. Zeg dat, en verwijs naar isaqb.org en het examenbureau. Een docent die verouderde examenfeiten met stelligheid presenteert, verliest geloofwaardigheid op het moment dat een deelnemer het opzoekt.</w:t>
      </w:r>
    </w:p>
    <w:p>
      <w:pPr>
        <w:spacing w:after="160" w:line="276"/>
      </w:pPr>
      <w:r>
        <w:rPr>
          <w:b/>
          <w:bCs/>
          <w:color w:val="1F2937"/>
          <w:sz w:val="22"/>
          <w:szCs w:val="22"/>
        </w:rPr>
        <w:t xml:space="preserve">Slide 6 (de vier valkuilen) is de nuttigste van de ochtend.</w:t>
      </w:r>
      <w:r>
        <w:rPr>
          <w:color w:val="1F2937"/>
          <w:sz w:val="22"/>
          <w:szCs w:val="22"/>
        </w:rPr>
        <w:t xml:space="preserve"> Vooral de situatievraag: contextgegevens als teamaantal en deployritme staan er niet voor de sier. Dat is dezelfde les als deel 5, nu in examenvorm.</w:t>
      </w:r>
    </w:p>
    <w:p>
      <w:pPr>
        <w:pStyle w:val="Heading2"/>
        <w:spacing w:after="140" w:before="260"/>
      </w:pPr>
      <w:r>
        <w:rPr>
          <w:b/>
          <w:bCs/>
          <w:color w:val="4A6789"/>
          <w:sz w:val="24"/>
          <w:szCs w:val="24"/>
        </w:rPr>
        <w:t xml:space="preserve">3.2 Het oefenexamen (40 minuten)</w:t>
      </w:r>
    </w:p>
    <w:p>
      <w:pPr>
        <w:spacing w:after="160" w:line="276"/>
      </w:pPr>
      <w:r>
        <w:rPr>
          <w:b/>
          <w:bCs/>
          <w:color w:val="1F2937"/>
          <w:sz w:val="22"/>
          <w:szCs w:val="22"/>
        </w:rPr>
        <w:t xml:space="preserve">Neem het echt af onder examenomstandigheden.</w:t>
      </w:r>
      <w:r>
        <w:rPr>
          <w:color w:val="1F2937"/>
          <w:sz w:val="22"/>
          <w:szCs w:val="22"/>
        </w:rPr>
        <w:t xml:space="preserve"> Geen naslag, geen overleg, tijd bijhouden. Deelnemers die het losjes maken, krijgen een vertekend beeld van hun voorbereiding.</w:t>
      </w:r>
    </w:p>
    <w:p>
      <w:pPr>
        <w:spacing w:after="160" w:line="276"/>
      </w:pPr>
      <w:r>
        <w:rPr>
          <w:b/>
          <w:bCs/>
          <w:color w:val="1F2937"/>
          <w:sz w:val="22"/>
          <w:szCs w:val="22"/>
        </w:rPr>
        <w:t xml:space="preserve">Nakijken plenair, maar niet alle twintig.</w:t>
      </w:r>
      <w:r>
        <w:rPr>
          <w:color w:val="1F2937"/>
          <w:sz w:val="22"/>
          <w:szCs w:val="22"/>
        </w:rPr>
        <w:t xml:space="preserve"> Bespreek 3, 4, 8, 15 en 20 — dat zijn de vragen waarop de meeste fouten vallen en waar de toelichting het meest oplevert:</w:t>
      </w:r>
    </w:p>
    <w:p>
      <w:pPr>
        <w:pStyle w:val="ListParagraph"/>
        <w:numPr>
          <w:ilvl w:val="0"/>
          <w:numId w:val="4"/>
        </w:numPr>
        <w:spacing w:after="120"/>
      </w:pPr>
      <w:r>
        <w:rPr>
          <w:b/>
          <w:bCs/>
          <w:color w:val="1F2937"/>
          <w:sz w:val="22"/>
          <w:szCs w:val="22"/>
        </w:rPr>
        <w:t xml:space="preserve">3</w:t>
      </w:r>
      <w:r>
        <w:rPr>
          <w:color w:val="1F2937"/>
          <w:sz w:val="22"/>
          <w:szCs w:val="22"/>
        </w:rPr>
        <w:t xml:space="preserve"> is bewust dubbelzinnig gebouwd: hergebruik is een teken van bruikbaarheid én een bron van starheid. Wie a kiest, heeft de omkering uit deel 3 niet meegenomen.</w:t>
      </w:r>
    </w:p>
    <w:p>
      <w:pPr>
        <w:pStyle w:val="ListParagraph"/>
        <w:numPr>
          <w:ilvl w:val="0"/>
          <w:numId w:val="4"/>
        </w:numPr>
        <w:spacing w:after="120"/>
      </w:pPr>
      <w:r>
        <w:rPr>
          <w:b/>
          <w:bCs/>
          <w:color w:val="1F2937"/>
          <w:sz w:val="22"/>
          <w:szCs w:val="22"/>
        </w:rPr>
        <w:t xml:space="preserve">4 en 20</w:t>
      </w:r>
      <w:r>
        <w:rPr>
          <w:color w:val="1F2937"/>
          <w:sz w:val="22"/>
          <w:szCs w:val="22"/>
        </w:rPr>
        <w:t xml:space="preserve"> zijn de meervoudige vragen waar deelnemers stoppen bij het eerste juiste antwoord.</w:t>
      </w:r>
    </w:p>
    <w:p>
      <w:pPr>
        <w:pStyle w:val="ListParagraph"/>
        <w:numPr>
          <w:ilvl w:val="0"/>
          <w:numId w:val="4"/>
        </w:numPr>
        <w:spacing w:after="120"/>
      </w:pPr>
      <w:r>
        <w:rPr>
          <w:b/>
          <w:bCs/>
          <w:color w:val="1F2937"/>
          <w:sz w:val="22"/>
          <w:szCs w:val="22"/>
        </w:rPr>
        <w:t xml:space="preserve">8</w:t>
      </w:r>
      <w:r>
        <w:rPr>
          <w:color w:val="1F2937"/>
          <w:sz w:val="22"/>
          <w:szCs w:val="22"/>
        </w:rPr>
        <w:t xml:space="preserve"> is de rekensomvraag: dezelfde limiet, twee verschillende werelden.</w:t>
      </w:r>
    </w:p>
    <w:p>
      <w:pPr>
        <w:pStyle w:val="ListParagraph"/>
        <w:numPr>
          <w:ilvl w:val="0"/>
          <w:numId w:val="4"/>
        </w:numPr>
        <w:spacing w:after="120"/>
      </w:pPr>
      <w:r>
        <w:rPr>
          <w:b/>
          <w:bCs/>
          <w:color w:val="1F2937"/>
          <w:sz w:val="22"/>
          <w:szCs w:val="22"/>
        </w:rPr>
        <w:t xml:space="preserve">15</w:t>
      </w:r>
      <w:r>
        <w:rPr>
          <w:color w:val="1F2937"/>
          <w:sz w:val="22"/>
          <w:szCs w:val="22"/>
        </w:rPr>
        <w:t xml:space="preserve"> onderscheidt "niet-risico" van "geen aandacht nodig" — de kernnuance uit deel 9.</w:t>
      </w:r>
    </w:p>
    <w:p>
      <w:pPr>
        <w:spacing w:after="160" w:line="276"/>
      </w:pPr>
      <w:r>
        <w:rPr>
          <w:b/>
          <w:bCs/>
          <w:color w:val="1F2937"/>
          <w:sz w:val="22"/>
          <w:szCs w:val="22"/>
        </w:rPr>
        <w:t xml:space="preserve">Kalibratie meegeven</w:t>
      </w:r>
      <w:r>
        <w:rPr>
          <w:color w:val="1F2937"/>
          <w:sz w:val="22"/>
          <w:szCs w:val="22"/>
        </w:rPr>
        <w:t xml:space="preserve"> (slide bij de uitwerking): zestien of meer is goed voorbereid; twaalf tot vijftien betekent gericht bijwerken; onder de twaalf betekent cursusdelen doorwerken voordat men zich aanmeldt.</w:t>
      </w:r>
    </w:p>
    <w:p>
      <w:pPr>
        <w:spacing w:after="160" w:line="276"/>
      </w:pPr>
      <w:r>
        <w:rPr>
          <w:b/>
          <w:bCs/>
          <w:color w:val="1F2937"/>
          <w:sz w:val="22"/>
          <w:szCs w:val="22"/>
        </w:rPr>
        <w:t xml:space="preserve">Waarschuw expliciet: </w:t>
      </w:r>
      <w:r>
        <w:rPr>
          <w:color w:val="1F2937"/>
          <w:sz w:val="22"/>
          <w:szCs w:val="22"/>
        </w:rPr>
        <w:t xml:space="preserve">dit oefenexamen is korter dan het echte en geschreven op déze cursus. Een goede score voorspelt een goede voorbereiding, geen geslaagd examen.</w:t>
      </w:r>
    </w:p>
    <w:p>
      <w:pPr>
        <w:pStyle w:val="Heading2"/>
        <w:spacing w:after="140" w:before="260"/>
      </w:pPr>
      <w:r>
        <w:rPr>
          <w:b/>
          <w:bCs/>
          <w:color w:val="4A6789"/>
          <w:sz w:val="24"/>
          <w:szCs w:val="24"/>
        </w:rPr>
        <w:t xml:space="preserve">3.3 Zelftoets en de uiteenlopingen (slides 9–10)</w:t>
      </w:r>
    </w:p>
    <w:p>
      <w:pPr>
        <w:spacing w:after="160" w:line="276"/>
      </w:pPr>
      <w:r>
        <w:rPr>
          <w:b/>
          <w:bCs/>
          <w:color w:val="1F2937"/>
          <w:sz w:val="22"/>
          <w:szCs w:val="22"/>
        </w:rPr>
        <w:t xml:space="preserve">Slide 10 is een eerlijkheidsmoment dat u niet moet overslaan.</w:t>
      </w:r>
      <w:r>
        <w:rPr>
          <w:color w:val="1F2937"/>
          <w:sz w:val="22"/>
          <w:szCs w:val="22"/>
        </w:rPr>
        <w:t xml:space="preserve"> Deze cursus gaat op drie punten verder dan het examen (meetplan, borgingslagen, ontwerpfout versus gerealiseerd risico) en op enkele punten minder ver. Zeg beide.</w:t>
      </w:r>
    </w:p>
    <w:p>
      <w:pPr>
        <w:spacing w:after="160" w:line="276"/>
      </w:pPr>
      <w:r>
        <w:rPr>
          <w:color w:val="1F2937"/>
          <w:sz w:val="22"/>
          <w:szCs w:val="22"/>
        </w:rPr>
        <w:t xml:space="preserve">Deelnemers waarderen die eerlijkheid, en het voorkomt de teleurstelling van iemand die op de cursus vertrouwde en op een curriculumhoofdstuk struikelde dat wij licht hebben behandeld.</w:t>
      </w:r>
    </w:p>
    <w:p>
      <w:pPr>
        <w:pStyle w:val="Heading1"/>
        <w:pBdr>
          <w:bottom w:val="single" w:color="E5E7EB" w:sz="6" w:space="6"/>
        </w:pBdr>
        <w:spacing w:after="180" w:before="380"/>
      </w:pPr>
      <w:r>
        <w:rPr>
          <w:b/>
          <w:bCs/>
          <w:color w:val="1F3A5F"/>
          <w:sz w:val="30"/>
          <w:szCs w:val="30"/>
        </w:rPr>
        <w:t xml:space="preserve">4. De middag: de verdediging</w:t>
      </w:r>
    </w:p>
    <w:p>
      <w:pPr>
        <w:pStyle w:val="Heading2"/>
        <w:spacing w:after="140" w:before="260"/>
      </w:pPr>
      <w:r>
        <w:rPr>
          <w:b/>
          <w:bCs/>
          <w:color w:val="4A6789"/>
          <w:sz w:val="24"/>
          <w:szCs w:val="24"/>
        </w:rPr>
        <w:t xml:space="preserve">4.1 Voorbereiding als docent</w:t>
      </w:r>
    </w:p>
    <w:p>
      <w:pPr>
        <w:spacing w:after="160" w:line="276"/>
      </w:pPr>
      <w:r>
        <w:rPr>
          <w:b/>
          <w:bCs/>
          <w:color w:val="1F2937"/>
          <w:sz w:val="22"/>
          <w:szCs w:val="22"/>
        </w:rPr>
        <w:t xml:space="preserve">De panelrollen.</w:t>
      </w:r>
      <w:r>
        <w:rPr>
          <w:color w:val="1F2937"/>
          <w:sz w:val="22"/>
          <w:szCs w:val="22"/>
        </w:rPr>
        <w:t xml:space="preserve"> Bij zes deelnemers verdedigt er telkens één en zitten er vier in het panel; de zesde observeert en noteert. Rouleer zodat iedereen minstens twee keer in een panelrol zit — het panel zijn is bijna net zo leerzaam als verdedigen.</w:t>
      </w:r>
    </w:p>
    <w:p>
      <w:pPr>
        <w:spacing w:after="160" w:line="276"/>
      </w:pPr>
      <w:r>
        <w:rPr>
          <w:b/>
          <w:bCs/>
          <w:color w:val="1F2937"/>
          <w:sz w:val="22"/>
          <w:szCs w:val="22"/>
        </w:rPr>
        <w:t xml:space="preserve">Bijlage Y bevat per rol drie onvoorziene vragen.</w:t>
      </w:r>
      <w:r>
        <w:rPr>
          <w:color w:val="1F2937"/>
          <w:sz w:val="22"/>
          <w:szCs w:val="22"/>
        </w:rPr>
        <w:t xml:space="preserve"> Deel die niet vooraf uit aan de panelleden van de eerste verdediging; laat ze pas rouleren zodra de eerste twee verdedigingen zijn geweest, anders lekken ze door de zaal.</w:t>
      </w:r>
    </w:p>
    <w:p>
      <w:pPr>
        <w:spacing w:after="160" w:line="276"/>
      </w:pPr>
      <w:r>
        <w:rPr>
          <w:b/>
          <w:bCs/>
          <w:color w:val="1F2937"/>
          <w:sz w:val="22"/>
          <w:szCs w:val="22"/>
        </w:rPr>
        <w:t xml:space="preserve">Kies de volgorde bewust.</w:t>
      </w:r>
      <w:r>
        <w:rPr>
          <w:color w:val="1F2937"/>
          <w:sz w:val="22"/>
          <w:szCs w:val="22"/>
        </w:rPr>
        <w:t xml:space="preserve"> Begin niet met de zwakste deelnemer en niet met de sterkste. Een middenmoter zet de norm zonder te ontmoedigen.</w:t>
      </w:r>
    </w:p>
    <w:p>
      <w:pPr>
        <w:pStyle w:val="Heading2"/>
        <w:spacing w:after="140" w:before="260"/>
      </w:pPr>
      <w:r>
        <w:rPr>
          <w:b/>
          <w:bCs/>
          <w:color w:val="4A6789"/>
          <w:sz w:val="24"/>
          <w:szCs w:val="24"/>
        </w:rPr>
        <w:t xml:space="preserve">4.2 De criteria toelichten (slides 16–19)</w:t>
      </w:r>
    </w:p>
    <w:p>
      <w:pPr>
        <w:spacing w:after="160" w:line="276"/>
      </w:pPr>
      <w:r>
        <w:rPr>
          <w:b/>
          <w:bCs/>
          <w:color w:val="1F2937"/>
          <w:sz w:val="22"/>
          <w:szCs w:val="22"/>
        </w:rPr>
        <w:t xml:space="preserve">Slide 18 en 19 zijn de twee die u nadrukkelijk moet uitspreken</w:t>
      </w:r>
      <w:r>
        <w:rPr>
          <w:color w:val="1F2937"/>
          <w:sz w:val="22"/>
          <w:szCs w:val="22"/>
        </w:rPr>
        <w:t xml:space="preserve"> vóór de eerste verdediging, want zij bepalen hoe deelnemers zich gedragen:</w:t>
      </w:r>
    </w:p>
    <w:p>
      <w:pPr>
        <w:pStyle w:val="ListParagraph"/>
        <w:numPr>
          <w:ilvl w:val="0"/>
          <w:numId w:val="2"/>
        </w:numPr>
        <w:spacing w:after="100"/>
      </w:pPr>
      <w:r>
        <w:rPr>
          <w:color w:val="1F2937"/>
          <w:sz w:val="22"/>
          <w:szCs w:val="22"/>
        </w:rPr>
        <w:t xml:space="preserve">Een erkend zwak punt met benoemde maatregel is sterker dan een ontkend zwak punt.</w:t>
      </w:r>
    </w:p>
    <w:p>
      <w:pPr>
        <w:pStyle w:val="ListParagraph"/>
        <w:numPr>
          <w:ilvl w:val="0"/>
          <w:numId w:val="2"/>
        </w:numPr>
        <w:spacing w:after="100"/>
      </w:pPr>
      <w:r>
        <w:rPr>
          <w:color w:val="1F2937"/>
          <w:sz w:val="22"/>
          <w:szCs w:val="22"/>
        </w:rPr>
        <w:t xml:space="preserve">Bij de eerste tegenwerping alles herzien betekent dat u uw keuzes niet draagt; elke tegenwerping pareren betekent dat u niet luistert — en dat tweede is duurder, want die architect hoort beheer en compliance nooit.</w:t>
      </w:r>
    </w:p>
    <w:p>
      <w:pPr>
        <w:spacing w:after="160" w:line="276"/>
      </w:pPr>
      <w:r>
        <w:rPr>
          <w:color w:val="1F2937"/>
          <w:sz w:val="22"/>
          <w:szCs w:val="22"/>
        </w:rPr>
        <w:t xml:space="preserve">Zonder deze twee zinnen vervallen deelnemers in een van beide uitersten, en dan meet u iets anders dan u wilde meten.</w:t>
      </w:r>
    </w:p>
    <w:p>
      <w:pPr>
        <w:pStyle w:val="Heading2"/>
        <w:spacing w:after="140" w:before="260"/>
      </w:pPr>
      <w:r>
        <w:rPr>
          <w:b/>
          <w:bCs/>
          <w:color w:val="4A6789"/>
          <w:sz w:val="24"/>
          <w:szCs w:val="24"/>
        </w:rPr>
        <w:t xml:space="preserve">4.3 De verdedigingen leiden</w:t>
      </w:r>
    </w:p>
    <w:p>
      <w:pPr>
        <w:spacing w:after="160" w:line="276"/>
      </w:pPr>
      <w:r>
        <w:rPr>
          <w:b/>
          <w:bCs/>
          <w:color w:val="1F2937"/>
          <w:sz w:val="22"/>
          <w:szCs w:val="22"/>
        </w:rPr>
        <w:t xml:space="preserve">Uw rol is tijdbewaker en scheidsrechter, niet panellid.</w:t>
      </w:r>
      <w:r>
        <w:rPr>
          <w:color w:val="1F2937"/>
          <w:sz w:val="22"/>
          <w:szCs w:val="22"/>
        </w:rPr>
        <w:t xml:space="preserve"> Als u zelf gaat doorvragen, verandert de oefening in een examen van u.</w:t>
      </w:r>
    </w:p>
    <w:p>
      <w:pPr>
        <w:spacing w:after="160" w:line="276"/>
      </w:pPr>
      <w:r>
        <w:rPr>
          <w:color w:val="1F2937"/>
          <w:sz w:val="22"/>
          <w:szCs w:val="22"/>
        </w:rPr>
        <w:t xml:space="preserve">Vier interventies om paraat te hebben:</w:t>
      </w:r>
    </w:p>
    <w:p>
      <w:pPr>
        <w:pStyle w:val="ListParagraph"/>
        <w:numPr>
          <w:ilvl w:val="0"/>
          <w:numId w:val="5"/>
        </w:numPr>
        <w:spacing w:after="120"/>
      </w:pPr>
      <w:r>
        <w:rPr>
          <w:b/>
          <w:bCs/>
          <w:color w:val="1F2937"/>
          <w:sz w:val="22"/>
          <w:szCs w:val="22"/>
        </w:rPr>
        <w:t xml:space="preserve">Het panel wordt te aardig.</w:t>
      </w:r>
      <w:r>
        <w:rPr>
          <w:color w:val="1F2937"/>
          <w:sz w:val="22"/>
          <w:szCs w:val="22"/>
        </w:rPr>
        <w:t xml:space="preserve"> Vooral bij de eerste verdediging. Duw met een gerichte vraag: "Beheer, wat gebeurt er in dit ontwerp om 23:00 op vrijdag?" Eén stevige vraag kantelt de toon voor de rest van de middag.</w:t>
      </w:r>
    </w:p>
    <w:p>
      <w:pPr>
        <w:pStyle w:val="ListParagraph"/>
        <w:numPr>
          <w:ilvl w:val="0"/>
          <w:numId w:val="5"/>
        </w:numPr>
        <w:spacing w:after="120"/>
      </w:pPr>
      <w:r>
        <w:rPr>
          <w:b/>
          <w:bCs/>
          <w:color w:val="1F2937"/>
          <w:sz w:val="22"/>
          <w:szCs w:val="22"/>
        </w:rPr>
        <w:t xml:space="preserve">Het panel wordt te hard.</w:t>
      </w:r>
      <w:r>
        <w:rPr>
          <w:color w:val="1F2937"/>
          <w:sz w:val="22"/>
          <w:szCs w:val="22"/>
        </w:rPr>
        <w:t xml:space="preserve"> Komt voor bij groepen met een competitieve dynamiek, en het levert niets op. Grijp in met de terugkoppelingsregel: één sterk punt en één punt dat scherper kon, in die volgorde.</w:t>
      </w:r>
    </w:p>
    <w:p>
      <w:pPr>
        <w:pStyle w:val="ListParagraph"/>
        <w:numPr>
          <w:ilvl w:val="0"/>
          <w:numId w:val="5"/>
        </w:numPr>
        <w:spacing w:after="120"/>
      </w:pPr>
      <w:r>
        <w:rPr>
          <w:b/>
          <w:bCs/>
          <w:color w:val="1F2937"/>
          <w:sz w:val="22"/>
          <w:szCs w:val="22"/>
        </w:rPr>
        <w:t xml:space="preserve">De verdediger raakt vast.</w:t>
      </w:r>
      <w:r>
        <w:rPr>
          <w:color w:val="1F2937"/>
          <w:sz w:val="22"/>
          <w:szCs w:val="22"/>
        </w:rPr>
        <w:t xml:space="preserve"> Geef één reddingslijn: "Neem even de tijd — waar in uw register staat dit?" Meestal staat het er en herpakt hij zich. Staat het er niet, dan is dat de bevinding.</w:t>
      </w:r>
    </w:p>
    <w:p>
      <w:pPr>
        <w:pStyle w:val="ListParagraph"/>
        <w:numPr>
          <w:ilvl w:val="0"/>
          <w:numId w:val="5"/>
        </w:numPr>
        <w:spacing w:after="120"/>
      </w:pPr>
      <w:r>
        <w:rPr>
          <w:b/>
          <w:bCs/>
          <w:color w:val="1F2937"/>
          <w:sz w:val="22"/>
          <w:szCs w:val="22"/>
        </w:rPr>
        <w:t xml:space="preserve">De verdediging wordt een technische discussie tussen twee deelnemers.</w:t>
      </w:r>
      <w:r>
        <w:rPr>
          <w:color w:val="1F2937"/>
          <w:sz w:val="22"/>
          <w:szCs w:val="22"/>
        </w:rPr>
        <w:t xml:space="preserve"> Kap af en breng het terug naar de rol: "Vanuit compliance gezien — wat is uw zorg?"</w:t>
      </w:r>
    </w:p>
    <w:p>
      <w:pPr>
        <w:spacing w:after="160" w:line="276"/>
      </w:pPr>
      <w:r>
        <w:rPr>
          <w:b/>
          <w:bCs/>
          <w:color w:val="1F2937"/>
          <w:sz w:val="22"/>
          <w:szCs w:val="22"/>
        </w:rPr>
        <w:t xml:space="preserve">Bewaak de twee minuten terugkoppeling.</w:t>
      </w:r>
      <w:r>
        <w:rPr>
          <w:color w:val="1F2937"/>
          <w:sz w:val="22"/>
          <w:szCs w:val="22"/>
        </w:rPr>
        <w:t xml:space="preserve"> Bij tijdsdruk is dit het eerste dat sneuvelt en het laatste dat mag sneuvelen. Deelnemers onthouden hun terugkoppeling langer dan hun verdediging.</w:t>
      </w:r>
    </w:p>
    <w:p>
      <w:pPr>
        <w:pStyle w:val="Heading2"/>
        <w:spacing w:after="140" w:before="260"/>
      </w:pPr>
      <w:r>
        <w:rPr>
          <w:b/>
          <w:bCs/>
          <w:color w:val="4A6789"/>
          <w:sz w:val="24"/>
          <w:szCs w:val="24"/>
        </w:rPr>
        <w:t xml:space="preserve">4.4 Beoordelen</w:t>
      </w:r>
    </w:p>
    <w:p>
      <w:pPr>
        <w:spacing w:after="160" w:line="276"/>
      </w:pPr>
      <w:r>
        <w:rPr>
          <w:color w:val="1F2937"/>
          <w:sz w:val="22"/>
          <w:szCs w:val="22"/>
        </w:rPr>
        <w:t xml:space="preserve">Gebruik bijlage Z, de rubriek uit het werkboek. Drie observaties uit eerdere groepen:</w:t>
      </w:r>
    </w:p>
    <w:p>
      <w:pPr>
        <w:pStyle w:val="ListParagraph"/>
        <w:numPr>
          <w:ilvl w:val="0"/>
          <w:numId w:val="2"/>
        </w:numPr>
        <w:spacing w:after="100"/>
      </w:pPr>
      <w:r>
        <w:rPr>
          <w:b/>
          <w:bCs/>
          <w:color w:val="1F2937"/>
          <w:sz w:val="22"/>
          <w:szCs w:val="22"/>
        </w:rPr>
        <w:t xml:space="preserve">Criterium 4 (omgaan met kritiek) is de meest voorkomende zwakte,</w:t>
      </w:r>
      <w:r>
        <w:rPr>
          <w:color w:val="1F2937"/>
          <w:sz w:val="22"/>
          <w:szCs w:val="22"/>
        </w:rPr>
        <w:t xml:space="preserve"> en het is ook het criterium dat het minst met kennis te maken heeft. Deelnemers die op alle inhoudelijke criteria sterk scoren, kunnen hier onvoldoende zijn.</w:t>
      </w:r>
    </w:p>
    <w:p>
      <w:pPr>
        <w:pStyle w:val="ListParagraph"/>
        <w:numPr>
          <w:ilvl w:val="0"/>
          <w:numId w:val="2"/>
        </w:numPr>
        <w:spacing w:after="100"/>
      </w:pPr>
      <w:r>
        <w:rPr>
          <w:b/>
          <w:bCs/>
          <w:color w:val="1F2937"/>
          <w:sz w:val="22"/>
          <w:szCs w:val="22"/>
        </w:rPr>
        <w:t xml:space="preserve">Criterium 2 (benoemde prijs) voorspelt het best de praktijkgeschiktheid.</w:t>
      </w:r>
      <w:r>
        <w:rPr>
          <w:color w:val="1F2937"/>
          <w:sz w:val="22"/>
          <w:szCs w:val="22"/>
        </w:rPr>
        <w:t xml:space="preserve"> Wie de prijs alleen in technische termen kan uitdrukken, gaat in de praktijk keuzes maken waarvan de kosten bij een andere afdeling landen zonder dat iemand het merkte.</w:t>
      </w:r>
    </w:p>
    <w:p>
      <w:pPr>
        <w:pStyle w:val="ListParagraph"/>
        <w:numPr>
          <w:ilvl w:val="0"/>
          <w:numId w:val="2"/>
        </w:numPr>
        <w:spacing w:after="100"/>
      </w:pPr>
      <w:r>
        <w:rPr>
          <w:b/>
          <w:bCs/>
          <w:color w:val="1F2937"/>
          <w:sz w:val="22"/>
          <w:szCs w:val="22"/>
        </w:rPr>
        <w:t xml:space="preserve">Criterium 3 (restrisico) scheidt de goede van de sterke verdedigingen.</w:t>
      </w:r>
      <w:r>
        <w:rPr>
          <w:color w:val="1F2937"/>
          <w:sz w:val="22"/>
          <w:szCs w:val="22"/>
        </w:rPr>
        <w:t xml:space="preserve"> Deelnemers die bij elke bevinding "afgedekt" zeggen, klinken zelfverzekerder en zijn zwakker.</w:t>
      </w:r>
    </w:p>
    <w:p>
      <w:pPr>
        <w:pStyle w:val="Heading1"/>
        <w:pBdr>
          <w:bottom w:val="single" w:color="E5E7EB" w:sz="6" w:space="6"/>
        </w:pBdr>
        <w:spacing w:after="180" w:before="380"/>
      </w:pPr>
      <w:r>
        <w:rPr>
          <w:b/>
          <w:bCs/>
          <w:color w:val="1F3A5F"/>
          <w:sz w:val="30"/>
          <w:szCs w:val="30"/>
        </w:rPr>
        <w:t xml:space="preserve">5. De terugblik (slides 22–27)</w:t>
      </w:r>
    </w:p>
    <w:p>
      <w:pPr>
        <w:spacing w:after="160" w:line="276"/>
      </w:pPr>
      <w:r>
        <w:rPr>
          <w:b/>
          <w:bCs/>
          <w:color w:val="1F2937"/>
          <w:sz w:val="22"/>
          <w:szCs w:val="22"/>
        </w:rPr>
        <w:t xml:space="preserve">Dit is het inhoudelijke sluitstuk en het verdient echte tijd, ook als u uitloopt.</w:t>
      </w:r>
    </w:p>
    <w:p>
      <w:pPr>
        <w:spacing w:after="160" w:line="276"/>
      </w:pPr>
      <w:r>
        <w:rPr>
          <w:b/>
          <w:bCs/>
          <w:color w:val="1F2937"/>
          <w:sz w:val="22"/>
          <w:szCs w:val="22"/>
        </w:rPr>
        <w:t xml:space="preserve">Slide 24 en 25 zijn de kernboodschap van het hele niveau: </w:t>
      </w:r>
      <w:r>
        <w:rPr>
          <w:color w:val="1F2937"/>
          <w:sz w:val="22"/>
          <w:szCs w:val="22"/>
        </w:rPr>
        <w:t xml:space="preserve">zeven bevindingen zijn geen zeven maatregelen maar zeven vormen van dezelfde fout — een vraag die niet werd gesteld. Lees de vijf vragen op slide 25 hardop voor en laat er stilte na vallen.</w:t>
      </w:r>
    </w:p>
    <w:p>
      <w:pPr>
        <w:spacing w:after="160" w:line="276"/>
      </w:pPr>
      <w:r>
        <w:rPr>
          <w:b/>
          <w:bCs/>
          <w:color w:val="1F2937"/>
          <w:sz w:val="22"/>
          <w:szCs w:val="22"/>
        </w:rPr>
        <w:t xml:space="preserve">Het openen van de positioneringsverklaringen.</w:t>
      </w:r>
      <w:r>
        <w:rPr>
          <w:color w:val="1F2937"/>
          <w:sz w:val="22"/>
          <w:szCs w:val="22"/>
        </w:rPr>
        <w:t xml:space="preserve"> Laat deelnemers hun verklaring uit deel 1 lezen, en vraag twee of drie om hardop te delen wat zij voorspelden en wat het geworden is. Dit werkt vrijwel altijd: de meesten voorspelden een technologie- of stijlkeuze, en de doorslaggevende keuze bleek de indeling, de vastlegging van geschiedenis, of de vraag wie iets bewaakt.</w:t>
      </w:r>
    </w:p>
    <w:p>
      <w:pPr>
        <w:spacing w:after="160" w:line="276"/>
      </w:pPr>
      <w:r>
        <w:rPr>
          <w:color w:val="1F2937"/>
          <w:sz w:val="22"/>
          <w:szCs w:val="22"/>
        </w:rPr>
        <w:t xml:space="preserve">Zeg erbij dat dit geen fout in hun voorspelling was, maar de reden dat het niveau tien delen duurt.</w:t>
      </w:r>
    </w:p>
    <w:p>
      <w:pPr>
        <w:spacing w:after="160" w:line="276"/>
      </w:pPr>
      <w:r>
        <w:rPr>
          <w:b/>
          <w:bCs/>
          <w:color w:val="1F2937"/>
          <w:sz w:val="22"/>
          <w:szCs w:val="22"/>
        </w:rPr>
        <w:t xml:space="preserve">De parkeerlijst uit deel 1.</w:t>
      </w:r>
      <w:r>
        <w:rPr>
          <w:color w:val="1F2937"/>
          <w:sz w:val="22"/>
          <w:szCs w:val="22"/>
        </w:rPr>
        <w:t xml:space="preserve"> Haal hem tevoorschijn — u bewaart hem sinds dag één. Van de oplossingen die de klas op dag één voorstelde, staat doorgaans een minderheid nog overeind, en dat zijn meestal de eenvoudigste. Dat is het beste slotbeeld dat deze cursus heeft: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Het meeste van wat op dag één werd voorgesteld, was een oplossing zonder probleemanalyse, en de negen delen daartussen waren de analyse.</w:t>
            </w:r>
          </w:p>
        </w:tc>
      </w:tr>
    </w:tbl>
    <w:p>
      <w:pPr>
        <w:spacing w:after="300"/>
      </w:pPr>
    </w:p>
    <w:p>
      <w:pPr>
        <w:spacing w:after="160" w:line="276"/>
      </w:pPr>
      <w:r>
        <w:rPr>
          <w:b/>
          <w:bCs/>
          <w:color w:val="1F2937"/>
          <w:sz w:val="22"/>
          <w:szCs w:val="22"/>
        </w:rPr>
        <w:t xml:space="preserve">Slide 27 (wat u maandag kunt doen).</w:t>
      </w:r>
      <w:r>
        <w:rPr>
          <w:color w:val="1F2937"/>
          <w:sz w:val="22"/>
          <w:szCs w:val="22"/>
        </w:rPr>
        <w:t xml:space="preserve"> Sluit hiermee af en niet met de niveau-2-reclame. De drie ingrepen zonder mandaat zijn concreet en haalbaar, en zij zijn wat deelnemers meenemen naar hun werk. Vraag desnoods wie er een van de drie op maandag gaat doen; een handopsteking maakt het een voornemen in plaats van een suggestie.</w:t>
      </w:r>
    </w:p>
    <w:p>
      <w:pPr>
        <w:pStyle w:val="Heading1"/>
        <w:pBdr>
          <w:bottom w:val="single" w:color="E5E7EB" w:sz="6" w:space="6"/>
        </w:pBdr>
        <w:spacing w:after="180" w:before="380"/>
      </w:pPr>
      <w:r>
        <w:rPr>
          <w:b/>
          <w:bCs/>
          <w:color w:val="1F3A5F"/>
          <w:sz w:val="30"/>
          <w:szCs w:val="30"/>
        </w:rPr>
        <w:t xml:space="preserve">6. Praktische afronding</w:t>
      </w:r>
    </w:p>
    <w:p>
      <w:pPr>
        <w:pStyle w:val="ListParagraph"/>
        <w:numPr>
          <w:ilvl w:val="0"/>
          <w:numId w:val="2"/>
        </w:numPr>
        <w:spacing w:after="100"/>
      </w:pPr>
      <w:r>
        <w:rPr>
          <w:b/>
          <w:bCs/>
          <w:color w:val="1F2937"/>
          <w:sz w:val="22"/>
          <w:szCs w:val="22"/>
        </w:rPr>
        <w:t xml:space="preserve">Examenaanmelding.</w:t>
      </w:r>
      <w:r>
        <w:rPr>
          <w:color w:val="1F2937"/>
          <w:sz w:val="22"/>
          <w:szCs w:val="22"/>
        </w:rPr>
        <w:t xml:space="preserve"> Verwijs naar isaqb.org en de geaccrediteerde examenbureaus; noem geen prijzen of termijnen die kunnen verschuiven.</w:t>
      </w:r>
    </w:p>
    <w:p>
      <w:pPr>
        <w:pStyle w:val="ListParagraph"/>
        <w:numPr>
          <w:ilvl w:val="0"/>
          <w:numId w:val="2"/>
        </w:numPr>
        <w:spacing w:after="100"/>
      </w:pPr>
      <w:r>
        <w:rPr>
          <w:b/>
          <w:bCs/>
          <w:color w:val="1F2937"/>
          <w:sz w:val="22"/>
          <w:szCs w:val="22"/>
        </w:rPr>
        <w:t xml:space="preserve">Het officiële curriculum.</w:t>
      </w:r>
      <w:r>
        <w:rPr>
          <w:color w:val="1F2937"/>
          <w:sz w:val="22"/>
          <w:szCs w:val="22"/>
        </w:rPr>
        <w:t xml:space="preserve"> Wijs er nog één keer op dat het kosteloos is en dat deelnemers het moeten doornemen op de hoofdstukken waar zij zichzelf laag scoorden.</w:t>
      </w:r>
    </w:p>
    <w:p>
      <w:pPr>
        <w:pStyle w:val="ListParagraph"/>
        <w:numPr>
          <w:ilvl w:val="0"/>
          <w:numId w:val="2"/>
        </w:numPr>
        <w:spacing w:after="100"/>
      </w:pPr>
      <w:r>
        <w:rPr>
          <w:b/>
          <w:bCs/>
          <w:color w:val="1F2937"/>
          <w:sz w:val="22"/>
          <w:szCs w:val="22"/>
        </w:rPr>
        <w:t xml:space="preserve">Evaluatie van de cursus.</w:t>
      </w:r>
      <w:r>
        <w:rPr>
          <w:color w:val="1F2937"/>
          <w:sz w:val="22"/>
          <w:szCs w:val="22"/>
        </w:rPr>
        <w:t xml:space="preserve"> Vraag er expliciet naar, en vraag specifiek welk deel het meest en welk het minst opleverde. In eerdere groepen scoren deel 5 en deel 8 doorgaans het hoogst en deel 7 het meest wisselend.</w:t>
      </w:r>
    </w:p>
    <w:p>
      <w:pPr>
        <w:pStyle w:val="ListParagraph"/>
        <w:numPr>
          <w:ilvl w:val="0"/>
          <w:numId w:val="2"/>
        </w:numPr>
        <w:spacing w:after="100"/>
      </w:pPr>
      <w:r>
        <w:rPr>
          <w:b/>
          <w:bCs/>
          <w:color w:val="1F2937"/>
          <w:sz w:val="22"/>
          <w:szCs w:val="22"/>
        </w:rPr>
        <w:t xml:space="preserve">Certificaat van deelname,</w:t>
      </w:r>
      <w:r>
        <w:rPr>
          <w:color w:val="1F2937"/>
          <w:sz w:val="22"/>
          <w:szCs w:val="22"/>
        </w:rPr>
        <w:t xml:space="preserve"> indien uw organisatie dat afgeeft — met de nadrukkelijke vermelding dat dit geen iSAQB-certificering is. Dat onderscheid moet in de tekst staan.</w:t>
      </w:r>
    </w:p>
    <w:p>
      <w:pPr>
        <w:pStyle w:val="Heading1"/>
        <w:pBdr>
          <w:bottom w:val="single" w:color="E5E7EB" w:sz="6" w:space="6"/>
        </w:pBdr>
        <w:spacing w:after="180" w:before="380"/>
      </w:pPr>
      <w:r>
        <w:rPr>
          <w:b/>
          <w:bCs/>
          <w:color w:val="1F3A5F"/>
          <w:sz w:val="30"/>
          <w:szCs w:val="30"/>
        </w:rPr>
        <w:t xml:space="preserve">7. Benodigdheden</w:t>
      </w:r>
    </w:p>
    <w:p>
      <w:pPr>
        <w:pStyle w:val="ListParagraph"/>
        <w:numPr>
          <w:ilvl w:val="0"/>
          <w:numId w:val="2"/>
        </w:numPr>
        <w:spacing w:after="100"/>
      </w:pPr>
      <w:r>
        <w:rPr>
          <w:color w:val="1F2937"/>
          <w:sz w:val="22"/>
          <w:szCs w:val="22"/>
        </w:rPr>
        <w:t xml:space="preserve">Slidedeck deel 10</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Bijlage Y: rolkaarten capstonepanel — vier rollen, elk met belangen, drie vaste vragen en drie onvoorziene vragen</w:t>
      </w:r>
    </w:p>
    <w:p>
      <w:pPr>
        <w:pStyle w:val="ListParagraph"/>
        <w:numPr>
          <w:ilvl w:val="0"/>
          <w:numId w:val="2"/>
        </w:numPr>
        <w:spacing w:after="100"/>
      </w:pPr>
      <w:r>
        <w:rPr>
          <w:color w:val="1F2937"/>
          <w:sz w:val="22"/>
          <w:szCs w:val="22"/>
        </w:rPr>
        <w:t xml:space="preserve">Bijlage Z: beoordelingsformulier, vijf criteria met de rubriek uit het werkboek</w:t>
      </w:r>
    </w:p>
    <w:p>
      <w:pPr>
        <w:pStyle w:val="ListParagraph"/>
        <w:numPr>
          <w:ilvl w:val="0"/>
          <w:numId w:val="2"/>
        </w:numPr>
        <w:spacing w:after="100"/>
      </w:pPr>
      <w:r>
        <w:rPr>
          <w:color w:val="1F2937"/>
          <w:sz w:val="22"/>
          <w:szCs w:val="22"/>
        </w:rPr>
        <w:t xml:space="preserve">De parkeerlijst uit deel 1 — bewaard sinds dag één</w:t>
      </w:r>
    </w:p>
    <w:p>
      <w:pPr>
        <w:pStyle w:val="ListParagraph"/>
        <w:numPr>
          <w:ilvl w:val="0"/>
          <w:numId w:val="2"/>
        </w:numPr>
        <w:spacing w:after="100"/>
      </w:pPr>
      <w:r>
        <w:rPr>
          <w:color w:val="1F2937"/>
          <w:sz w:val="22"/>
          <w:szCs w:val="22"/>
        </w:rPr>
        <w:t xml:space="preserve">De positioneringsverklaringen, als u ze centraal hebt bewaard; anders erop wijzen dat deelnemers ze meebrengen</w:t>
      </w:r>
    </w:p>
    <w:p>
      <w:pPr>
        <w:pStyle w:val="ListParagraph"/>
        <w:numPr>
          <w:ilvl w:val="0"/>
          <w:numId w:val="2"/>
        </w:numPr>
        <w:spacing w:after="100"/>
      </w:pPr>
      <w:r>
        <w:rPr>
          <w:color w:val="1F2937"/>
          <w:sz w:val="22"/>
          <w:szCs w:val="22"/>
        </w:rPr>
        <w:t xml:space="preserve">Nakijksleutel oefenexamen</w:t>
      </w:r>
    </w:p>
    <w:p>
      <w:pPr>
        <w:pStyle w:val="ListParagraph"/>
        <w:numPr>
          <w:ilvl w:val="0"/>
          <w:numId w:val="2"/>
        </w:numPr>
        <w:spacing w:after="100"/>
      </w:pPr>
      <w:r>
        <w:rPr>
          <w:color w:val="1F2937"/>
          <w:sz w:val="22"/>
          <w:szCs w:val="22"/>
        </w:rPr>
        <w:t xml:space="preserve">Een klok die voor iedereen zichtbaar is</w:t>
      </w:r>
    </w:p>
    <w:p>
      <w:pPr>
        <w:pStyle w:val="Heading1"/>
        <w:pBdr>
          <w:bottom w:val="single" w:color="E5E7EB" w:sz="6" w:space="6"/>
        </w:pBdr>
        <w:spacing w:after="180" w:before="380"/>
      </w:pPr>
      <w:r>
        <w:rPr>
          <w:b/>
          <w:bCs/>
          <w:color w:val="1F3A5F"/>
          <w:sz w:val="30"/>
          <w:szCs w:val="30"/>
        </w:rPr>
        <w:t xml:space="preserve">8. Tot slot</w:t>
      </w:r>
    </w:p>
    <w:p>
      <w:pPr>
        <w:spacing w:after="160" w:line="276"/>
      </w:pPr>
      <w:r>
        <w:rPr>
          <w:color w:val="1F2937"/>
          <w:sz w:val="22"/>
          <w:szCs w:val="22"/>
        </w:rPr>
        <w:t xml:space="preserve">Dit is het einde van niveau 1, en de deelnemers die hier komen met een compleet dossier hebben in tien dagdelen het volledige traject van een architectuur doorlopen: van een mislukt programma naar een verdedigbaar ontwerp met benoemde restrisico's.</w:t>
      </w:r>
    </w:p>
    <w:p>
      <w:pPr>
        <w:spacing w:after="160" w:line="276"/>
      </w:pPr>
      <w:r>
        <w:rPr>
          <w:color w:val="1F2937"/>
          <w:sz w:val="22"/>
          <w:szCs w:val="22"/>
        </w:rPr>
        <w:t xml:space="preserve">Wat u van hen mag verwachten na dit niveau, is niet dat zij een systeem als Mutatie 2.0 alleen kunnen ontwerpen. Wat u mag verwachten, is dat zij de vragen stellen die in Mutatie 1.0 niet gesteld werden — en dat zij merken wanneer een beslissing wordt genomen zonder dat iemand haar als beslissing herkent.</w:t>
      </w:r>
    </w:p>
    <w:p>
      <w:pPr>
        <w:spacing w:after="160" w:line="276"/>
      </w:pPr>
      <w:r>
        <w:rPr>
          <w:color w:val="1F2937"/>
          <w:sz w:val="22"/>
          <w:szCs w:val="22"/>
        </w:rPr>
        <w:t xml:space="preserve">Dat is voldoende voor Foundation-niveau, en het is meer dan het programma in de casus had.</w:t>
      </w:r>
    </w:p>
    <w:p>
      <w:pPr>
        <w:pBdr>
          <w:top w:val="single" w:color="E5E7EB" w:sz="4" w:space="8"/>
        </w:pBdr>
        <w:spacing w:before="400"/>
        <w:jc w:val="center"/>
      </w:pPr>
      <w:r>
        <w:rPr>
          <w:i/>
          <w:iCs/>
          <w:color w:val="6B7280"/>
          <w:sz w:val="17"/>
          <w:szCs w:val="17"/>
        </w:rPr>
        <w:t xml:space="preserve">Ductus B.V. · Cursus Softwarearchitectuur · Niveau 1, deel 10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2026-08-17T14:49:00.327Z</dcterms:created>
  <dcterms:modified xsi:type="dcterms:W3CDTF">2026-08-17T14:49:00.328Z</dcterms:modified>
</cp:coreProperties>
</file>

<file path=docProps/custom.xml><?xml version="1.0" encoding="utf-8"?>
<Properties xmlns="http://schemas.openxmlformats.org/officeDocument/2006/custom-properties" xmlns:vt="http://schemas.openxmlformats.org/officeDocument/2006/docPropsVTypes"/>
</file>