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10 — Examentraining en capstoneverdediging</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1 (CPSA-F) · Deel 10 van 10</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Voorbereiding op iSAQB® CPSA-F. Geen vervanging van het officiële curriculum en examenmateriaal van het iSAQB. De examenopzet en -voorwaarden kunnen wijzigen; raadpleeg altijd isaqb.org en uw examenbureau voor de actuele stand. Technologieneutraal; arc42 + C4 als referentienotatie.</w:t>
            </w:r>
          </w:p>
        </w:tc>
      </w:tr>
    </w:tbl>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de opzet van het CPSA-F-examen beschrijven en uw voorbereiding erop richten;</w:t>
      </w:r>
    </w:p>
    <w:p>
      <w:pPr>
        <w:pStyle w:val="ListParagraph"/>
        <w:numPr>
          <w:ilvl w:val="0"/>
          <w:numId w:val="2"/>
        </w:numPr>
        <w:spacing w:after="120"/>
      </w:pPr>
      <w:r>
        <w:rPr>
          <w:color w:val="1F2937"/>
          <w:sz w:val="22"/>
          <w:szCs w:val="22"/>
        </w:rPr>
        <w:t xml:space="preserve">de veelvoorkomende vraagvormen herkennen en de bijbehorende valkuilen vermijden;</w:t>
      </w:r>
    </w:p>
    <w:p>
      <w:pPr>
        <w:pStyle w:val="ListParagraph"/>
        <w:numPr>
          <w:ilvl w:val="0"/>
          <w:numId w:val="2"/>
        </w:numPr>
        <w:spacing w:after="120"/>
      </w:pPr>
      <w:r>
        <w:rPr>
          <w:color w:val="1F2937"/>
          <w:sz w:val="22"/>
          <w:szCs w:val="22"/>
        </w:rPr>
        <w:t xml:space="preserve">uw eigen kennisniveau per curriculumhoofdstuk inschatten en gericht bijwerken;</w:t>
      </w:r>
    </w:p>
    <w:p>
      <w:pPr>
        <w:pStyle w:val="ListParagraph"/>
        <w:numPr>
          <w:ilvl w:val="0"/>
          <w:numId w:val="2"/>
        </w:numPr>
        <w:spacing w:after="120"/>
      </w:pPr>
      <w:r>
        <w:rPr>
          <w:color w:val="1F2937"/>
          <w:sz w:val="22"/>
          <w:szCs w:val="22"/>
        </w:rPr>
        <w:t xml:space="preserve">uw architectuurschets voor Mutatie 2.0 verdedigen tegenover een panel;</w:t>
      </w:r>
    </w:p>
    <w:p>
      <w:pPr>
        <w:pStyle w:val="ListParagraph"/>
        <w:numPr>
          <w:ilvl w:val="0"/>
          <w:numId w:val="2"/>
        </w:numPr>
        <w:spacing w:after="120"/>
      </w:pPr>
      <w:r>
        <w:rPr>
          <w:color w:val="1F2937"/>
          <w:sz w:val="22"/>
          <w:szCs w:val="22"/>
        </w:rPr>
        <w:t xml:space="preserve">reageren op kritiek op uw ontwerp zonder in verdediging of in overgave te vervallen;</w:t>
      </w:r>
    </w:p>
    <w:p>
      <w:pPr>
        <w:pStyle w:val="ListParagraph"/>
        <w:numPr>
          <w:ilvl w:val="0"/>
          <w:numId w:val="2"/>
        </w:numPr>
        <w:spacing w:after="120"/>
      </w:pPr>
      <w:r>
        <w:rPr>
          <w:color w:val="1F2937"/>
          <w:sz w:val="22"/>
          <w:szCs w:val="22"/>
        </w:rPr>
        <w:t xml:space="preserve">terugkijken op de boog van dit niveau: van de post-mortem naar een verdedigbaar ontwerp.</w:t>
      </w:r>
    </w:p>
    <w:p>
      <w:pPr>
        <w:pStyle w:val="Heading1"/>
        <w:pBdr>
          <w:bottom w:val="single" w:color="E5E7EB" w:sz="6" w:space="6"/>
        </w:pBdr>
        <w:spacing w:after="180" w:before="380"/>
      </w:pPr>
      <w:r>
        <w:rPr>
          <w:b/>
          <w:bCs/>
          <w:color w:val="1F3A5F"/>
          <w:sz w:val="30"/>
          <w:szCs w:val="30"/>
        </w:rPr>
        <w:t xml:space="preserve">10.1 Het CPSA-F-examen</w:t>
      </w:r>
    </w:p>
    <w:p>
      <w:pPr>
        <w:spacing w:after="160" w:line="276"/>
      </w:pPr>
      <w:r>
        <w:rPr>
          <w:b/>
          <w:bCs/>
          <w:color w:val="1F2937"/>
          <w:sz w:val="22"/>
          <w:szCs w:val="22"/>
        </w:rPr>
        <w:t xml:space="preserve">Opzet.</w:t>
      </w:r>
      <w:r>
        <w:rPr>
          <w:color w:val="1F2937"/>
          <w:sz w:val="22"/>
          <w:szCs w:val="22"/>
        </w:rPr>
        <w:t xml:space="preserve"> Het examen is schriftelijk en bestaat uit meerkeuzevragen, afgenomen door een geaccrediteerd examenbureau. Er zijn vragen met één juist antwoord en vragen met meerdere juiste antwoorden; het aantal punten per vraag verschilt naar gewicht. Er is een tijdslimiet en een slaagdrempel.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De precieze aantallen, de duur en de drempel kunnen per versie van het curriculum en per examenbureau verschillen. Controleer de actuele opzet bij uw examenbureau en op isaqb.org voordat u zich aanmeldt. Wat hieronder staat over vraagvormen en voorbereiding, geldt ongeacht die details.</w:t>
            </w:r>
          </w:p>
        </w:tc>
      </w:tr>
    </w:tbl>
    <w:p>
      <w:pPr>
        <w:spacing w:after="300"/>
      </w:pPr>
    </w:p>
    <w:p>
      <w:pPr>
        <w:spacing w:after="160" w:line="276"/>
      </w:pPr>
      <w:r>
        <w:rPr>
          <w:b/>
          <w:bCs/>
          <w:color w:val="1F2937"/>
          <w:sz w:val="22"/>
          <w:szCs w:val="22"/>
        </w:rPr>
        <w:t xml:space="preserve">Wat er getoetst wordt.</w:t>
      </w:r>
      <w:r>
        <w:rPr>
          <w:color w:val="1F2937"/>
          <w:sz w:val="22"/>
          <w:szCs w:val="22"/>
        </w:rPr>
        <w:t xml:space="preserve"> Begrip en toepassing, niet reproductie. U krijgt geen vragen als "noem de acht ISO 25010-karakteristieken", maar wel vragen waarin een situatie wordt beschreven en u de passende maatregel of het juiste begrip moet aanwijzen.</w:t>
      </w:r>
    </w:p>
    <w:p>
      <w:pPr>
        <w:spacing w:after="160" w:line="276"/>
      </w:pPr>
      <w:r>
        <w:rPr>
          <w:b/>
          <w:bCs/>
          <w:color w:val="1F2937"/>
          <w:sz w:val="22"/>
          <w:szCs w:val="22"/>
        </w:rPr>
        <w:t xml:space="preserve">Wat er niet getoetst wordt.</w:t>
      </w:r>
      <w:r>
        <w:rPr>
          <w:color w:val="1F2937"/>
          <w:sz w:val="22"/>
          <w:szCs w:val="22"/>
        </w:rPr>
        <w:t xml:space="preserve"> Technologiekennis, productnamen, en de specifieke inhoud van deze cursus. De casus Meridiaan is ons didactisch middel; het examen kent haar niet.</w:t>
      </w:r>
    </w:p>
    <w:p>
      <w:pPr>
        <w:pStyle w:val="Heading1"/>
        <w:pBdr>
          <w:bottom w:val="single" w:color="E5E7EB" w:sz="6" w:space="6"/>
        </w:pBdr>
        <w:spacing w:after="180" w:before="380"/>
      </w:pPr>
      <w:r>
        <w:rPr>
          <w:b/>
          <w:bCs/>
          <w:color w:val="1F3A5F"/>
          <w:sz w:val="30"/>
          <w:szCs w:val="30"/>
        </w:rPr>
        <w:t xml:space="preserve">10.2 Vraagvormen en valkuilen</w:t>
      </w:r>
    </w:p>
    <w:p>
      <w:pPr>
        <w:spacing w:after="160" w:line="276"/>
      </w:pPr>
      <w:r>
        <w:rPr>
          <w:b/>
          <w:bCs/>
          <w:color w:val="1F2937"/>
          <w:sz w:val="22"/>
          <w:szCs w:val="22"/>
        </w:rPr>
        <w:t xml:space="preserve">Vorm 1 — de situatievraag.</w:t>
      </w:r>
      <w:r>
        <w:rPr>
          <w:color w:val="1F2937"/>
          <w:sz w:val="22"/>
          <w:szCs w:val="22"/>
        </w:rPr>
        <w:t xml:space="preserve"> Een korte casus, gevolgd door de vraag welke maatregel past.</w:t>
      </w:r>
    </w:p>
    <w:p>
      <w:pPr>
        <w:spacing w:after="160" w:line="276"/>
      </w:pPr>
      <w:r>
        <w:rPr>
          <w:i/>
          <w:iCs/>
          <w:color w:val="1F2937"/>
          <w:sz w:val="22"/>
          <w:szCs w:val="22"/>
        </w:rPr>
        <w:t xml:space="preserve">Valkuil: het antwoord kiezen dat in het algemeen het beste is, in plaats van het antwoord dat bij de beschreven situatie past. Als de casus twee teams en één deploymoment noemt, is dat geen decoratie.</w:t>
      </w:r>
    </w:p>
    <w:p>
      <w:pPr>
        <w:spacing w:after="160" w:line="276"/>
      </w:pPr>
      <w:r>
        <w:rPr>
          <w:b/>
          <w:bCs/>
          <w:color w:val="1F2937"/>
          <w:sz w:val="22"/>
          <w:szCs w:val="22"/>
        </w:rPr>
        <w:t xml:space="preserve">Vorm 2 — de begripsvraag.</w:t>
      </w:r>
      <w:r>
        <w:rPr>
          <w:color w:val="1F2937"/>
          <w:sz w:val="22"/>
          <w:szCs w:val="22"/>
        </w:rPr>
        <w:t xml:space="preserve"> Welke van de onderstaande uitspraken over koppeling is juist?</w:t>
      </w:r>
    </w:p>
    <w:p>
      <w:pPr>
        <w:spacing w:after="160" w:line="276"/>
      </w:pPr>
      <w:r>
        <w:rPr>
          <w:i/>
          <w:iCs/>
          <w:color w:val="1F2937"/>
          <w:sz w:val="22"/>
          <w:szCs w:val="22"/>
        </w:rPr>
        <w:t xml:space="preserve">Valkuil: antwoorden die waar zijn maar niet het gevraagde begrip betreffen. Lees welk begrip er staat.</w:t>
      </w:r>
    </w:p>
    <w:p>
      <w:pPr>
        <w:spacing w:after="160" w:line="276"/>
      </w:pPr>
      <w:r>
        <w:rPr>
          <w:b/>
          <w:bCs/>
          <w:color w:val="1F2937"/>
          <w:sz w:val="22"/>
          <w:szCs w:val="22"/>
        </w:rPr>
        <w:t xml:space="preserve">Vorm 3 — de meervoudige vraag.</w:t>
      </w:r>
      <w:r>
        <w:rPr>
          <w:color w:val="1F2937"/>
          <w:sz w:val="22"/>
          <w:szCs w:val="22"/>
        </w:rPr>
        <w:t xml:space="preserve"> Meerdere antwoorden zijn juist; het aantal wordt doorgaans vermeld.</w:t>
      </w:r>
    </w:p>
    <w:p>
      <w:pPr>
        <w:spacing w:after="160" w:line="276"/>
      </w:pPr>
      <w:r>
        <w:rPr>
          <w:i/>
          <w:iCs/>
          <w:color w:val="1F2937"/>
          <w:sz w:val="22"/>
          <w:szCs w:val="22"/>
        </w:rPr>
        <w:t xml:space="preserve">Valkuil: stoppen bij het eerste duidelijk juiste antwoord. Als er twee gevraagd worden, weegt het missen van de tweede even zwaar.</w:t>
      </w:r>
    </w:p>
    <w:p>
      <w:pPr>
        <w:spacing w:after="160" w:line="276"/>
      </w:pPr>
      <w:r>
        <w:rPr>
          <w:b/>
          <w:bCs/>
          <w:color w:val="1F2937"/>
          <w:sz w:val="22"/>
          <w:szCs w:val="22"/>
        </w:rPr>
        <w:t xml:space="preserve">Vorm 4 — de "welke is géén"-vraag.</w:t>
      </w:r>
      <w:r>
        <w:rPr>
          <w:color w:val="1F2937"/>
          <w:sz w:val="22"/>
          <w:szCs w:val="22"/>
        </w:rPr>
        <w:t xml:space="preserve"> Welke van de volgende is géén tactiek voor beschikbaarheid?</w:t>
      </w:r>
    </w:p>
    <w:p>
      <w:pPr>
        <w:spacing w:after="160" w:line="276"/>
      </w:pPr>
      <w:r>
        <w:rPr>
          <w:i/>
          <w:iCs/>
          <w:color w:val="1F2937"/>
          <w:sz w:val="22"/>
          <w:szCs w:val="22"/>
        </w:rPr>
        <w:t xml:space="preserve">Valkuil: de ontkenning over het hoofd zien. Onderstreep hem.</w:t>
      </w:r>
    </w:p>
    <w:p>
      <w:pPr>
        <w:spacing w:after="160" w:line="276"/>
      </w:pPr>
      <w:r>
        <w:rPr>
          <w:b/>
          <w:bCs/>
          <w:color w:val="1F2937"/>
          <w:sz w:val="22"/>
          <w:szCs w:val="22"/>
        </w:rPr>
        <w:t xml:space="preserve">Algemene raad.</w:t>
      </w:r>
      <w:r>
        <w:rPr>
          <w:color w:val="1F2937"/>
          <w:sz w:val="22"/>
          <w:szCs w:val="22"/>
        </w:rPr>
        <w:t xml:space="preserve"> Antwoorden met absolute termen ("altijd", "nooit", "in alle gevallen") zijn in dit vakgebied zelden juist, omdat vrijwel elke uitspraak over architectuur een afhankelijkheid van de context kent. Uitzondering: uitspraken over definities.</w:t>
      </w:r>
    </w:p>
    <w:p>
      <w:pPr>
        <w:pStyle w:val="Heading1"/>
        <w:pBdr>
          <w:bottom w:val="single" w:color="E5E7EB" w:sz="6" w:space="6"/>
        </w:pBdr>
        <w:spacing w:after="180" w:before="380"/>
      </w:pPr>
      <w:r>
        <w:rPr>
          <w:b/>
          <w:bCs/>
          <w:color w:val="1F3A5F"/>
          <w:sz w:val="30"/>
          <w:szCs w:val="30"/>
        </w:rPr>
        <w:t xml:space="preserve">10.3 Zelftoets per curriculumhoofdstuk</w:t>
      </w:r>
    </w:p>
    <w:p>
      <w:pPr>
        <w:spacing w:after="160" w:line="276"/>
      </w:pPr>
      <w:r>
        <w:rPr>
          <w:color w:val="1F2937"/>
          <w:sz w:val="22"/>
          <w:szCs w:val="22"/>
        </w:rPr>
        <w:t xml:space="preserve">Loop de hoofdstukken langs en scoor uzelf: ken ik het / kan ik het toepassen / moet ik het bijwerken.</w:t>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900"/>
        <w:gridCol w:w="1300"/>
        <w:gridCol w:w="4938"/>
      </w:tblGrid>
      <w:tr>
        <w:trPr>
          <w:tblHeader/>
        </w:trPr>
        <w:tc>
          <w:tcPr>
            <w:tcW w:type="dxa" w:w="2900"/>
            <w:shd w:fill="1F3A5F" w:val="clear"/>
            <w:tcMar>
              <w:top w:type="dxa" w:w="100"/>
              <w:left w:type="dxa" w:w="120"/>
              <w:bottom w:type="dxa" w:w="100"/>
              <w:right w:type="dxa" w:w="120"/>
            </w:tcMar>
            <w:vAlign w:val="center"/>
          </w:tcPr>
          <w:p>
            <w:r>
              <w:rPr>
                <w:b/>
                <w:bCs/>
                <w:color w:val="FFFFFF"/>
                <w:sz w:val="19"/>
                <w:szCs w:val="19"/>
              </w:rPr>
              <w:t xml:space="preserve">Curriculumthema</w:t>
            </w:r>
          </w:p>
        </w:tc>
        <w:tc>
          <w:tcPr>
            <w:tcW w:type="dxa" w:w="1300"/>
            <w:shd w:fill="1F3A5F" w:val="clear"/>
            <w:tcMar>
              <w:top w:type="dxa" w:w="100"/>
              <w:left w:type="dxa" w:w="120"/>
              <w:bottom w:type="dxa" w:w="100"/>
              <w:right w:type="dxa" w:w="120"/>
            </w:tcMar>
            <w:vAlign w:val="center"/>
          </w:tcPr>
          <w:p>
            <w:r>
              <w:rPr>
                <w:b/>
                <w:bCs/>
                <w:color w:val="FFFFFF"/>
                <w:sz w:val="19"/>
                <w:szCs w:val="19"/>
              </w:rPr>
              <w:t xml:space="preserve">In deze cursus</w:t>
            </w:r>
          </w:p>
        </w:tc>
        <w:tc>
          <w:tcPr>
            <w:tcW w:type="dxa" w:w="4938"/>
            <w:shd w:fill="1F3A5F" w:val="clear"/>
            <w:tcMar>
              <w:top w:type="dxa" w:w="100"/>
              <w:left w:type="dxa" w:w="120"/>
              <w:bottom w:type="dxa" w:w="100"/>
              <w:right w:type="dxa" w:w="120"/>
            </w:tcMar>
            <w:vAlign w:val="center"/>
          </w:tcPr>
          <w:p>
            <w:r>
              <w:rPr>
                <w:b/>
                <w:bCs/>
                <w:color w:val="FFFFFF"/>
                <w:sz w:val="19"/>
                <w:szCs w:val="19"/>
              </w:rPr>
              <w:t xml:space="preserve">Kernvraag om uzelf te stellen</w:t>
            </w:r>
          </w:p>
        </w:tc>
      </w:tr>
      <w:tr>
        <w:trPr>
          <w:cantSplit/>
        </w:trPr>
        <w:tc>
          <w:tcPr>
            <w:tcW w:type="dxa" w:w="2900"/>
            <w:tcMar>
              <w:top w:type="dxa" w:w="100"/>
              <w:left w:type="dxa" w:w="120"/>
              <w:bottom w:type="dxa" w:w="100"/>
              <w:right w:type="dxa" w:w="120"/>
            </w:tcMar>
            <w:vAlign w:val="center"/>
          </w:tcPr>
          <w:p>
            <w:r>
              <w:rPr>
                <w:b w:val="false"/>
                <w:bCs w:val="false"/>
                <w:color w:val="1F2937"/>
                <w:sz w:val="19"/>
                <w:szCs w:val="19"/>
              </w:rPr>
              <w:t xml:space="preserve">Begrippen, doelen en rol</w:t>
            </w:r>
          </w:p>
        </w:tc>
        <w:tc>
          <w:tcPr>
            <w:tcW w:type="dxa" w:w="1300"/>
            <w:tcMar>
              <w:top w:type="dxa" w:w="100"/>
              <w:left w:type="dxa" w:w="120"/>
              <w:bottom w:type="dxa" w:w="100"/>
              <w:right w:type="dxa" w:w="120"/>
            </w:tcMar>
            <w:vAlign w:val="center"/>
          </w:tcPr>
          <w:p>
            <w:r>
              <w:rPr>
                <w:b w:val="false"/>
                <w:bCs w:val="false"/>
                <w:color w:val="1F2937"/>
                <w:sz w:val="19"/>
                <w:szCs w:val="19"/>
              </w:rPr>
              <w:t xml:space="preserve">Deel 1</w:t>
            </w:r>
          </w:p>
        </w:tc>
        <w:tc>
          <w:tcPr>
            <w:tcW w:type="dxa" w:w="4938"/>
            <w:tcMar>
              <w:top w:type="dxa" w:w="100"/>
              <w:left w:type="dxa" w:w="120"/>
              <w:bottom w:type="dxa" w:w="100"/>
              <w:right w:type="dxa" w:w="120"/>
            </w:tcMar>
            <w:vAlign w:val="center"/>
          </w:tcPr>
          <w:p>
            <w:r>
              <w:rPr>
                <w:b w:val="false"/>
                <w:bCs w:val="false"/>
                <w:color w:val="1F2937"/>
                <w:sz w:val="19"/>
                <w:szCs w:val="19"/>
              </w:rPr>
              <w:t xml:space="preserve">Kan ik uitleggen wanneer een beslissing architectuursignificant is?</w:t>
            </w:r>
          </w:p>
        </w:tc>
      </w:tr>
      <w:tr>
        <w:trPr>
          <w:cantSplit/>
        </w:trPr>
        <w:tc>
          <w:tcPr>
            <w:tcW w:type="dxa" w:w="2900"/>
            <w:tcMar>
              <w:top w:type="dxa" w:w="100"/>
              <w:left w:type="dxa" w:w="120"/>
              <w:bottom w:type="dxa" w:w="100"/>
              <w:right w:type="dxa" w:w="120"/>
            </w:tcMar>
            <w:vAlign w:val="center"/>
          </w:tcPr>
          <w:p>
            <w:r>
              <w:rPr>
                <w:b w:val="false"/>
                <w:bCs w:val="false"/>
                <w:color w:val="1F2937"/>
                <w:sz w:val="19"/>
                <w:szCs w:val="19"/>
              </w:rPr>
              <w:t xml:space="preserve">Eisen en invloedsfactoren</w:t>
            </w:r>
          </w:p>
        </w:tc>
        <w:tc>
          <w:tcPr>
            <w:tcW w:type="dxa" w:w="1300"/>
            <w:tcMar>
              <w:top w:type="dxa" w:w="100"/>
              <w:left w:type="dxa" w:w="120"/>
              <w:bottom w:type="dxa" w:w="100"/>
              <w:right w:type="dxa" w:w="120"/>
            </w:tcMar>
            <w:vAlign w:val="center"/>
          </w:tcPr>
          <w:p>
            <w:r>
              <w:rPr>
                <w:b w:val="false"/>
                <w:bCs w:val="false"/>
                <w:color w:val="1F2937"/>
                <w:sz w:val="19"/>
                <w:szCs w:val="19"/>
              </w:rPr>
              <w:t xml:space="preserve">Deel 2</w:t>
            </w:r>
          </w:p>
        </w:tc>
        <w:tc>
          <w:tcPr>
            <w:tcW w:type="dxa" w:w="4938"/>
            <w:tcMar>
              <w:top w:type="dxa" w:w="100"/>
              <w:left w:type="dxa" w:w="120"/>
              <w:bottom w:type="dxa" w:w="100"/>
              <w:right w:type="dxa" w:w="120"/>
            </w:tcMar>
            <w:vAlign w:val="center"/>
          </w:tcPr>
          <w:p>
            <w:r>
              <w:rPr>
                <w:b w:val="false"/>
                <w:bCs w:val="false"/>
                <w:color w:val="1F2937"/>
                <w:sz w:val="19"/>
                <w:szCs w:val="19"/>
              </w:rPr>
              <w:t xml:space="preserve">Kan ik een kwaliteitsscenario in zes delen opstellen en toetsen?</w:t>
            </w:r>
          </w:p>
        </w:tc>
      </w:tr>
      <w:tr>
        <w:trPr>
          <w:cantSplit/>
        </w:trPr>
        <w:tc>
          <w:tcPr>
            <w:tcW w:type="dxa" w:w="2900"/>
            <w:tcMar>
              <w:top w:type="dxa" w:w="100"/>
              <w:left w:type="dxa" w:w="120"/>
              <w:bottom w:type="dxa" w:w="100"/>
              <w:right w:type="dxa" w:w="120"/>
            </w:tcMar>
            <w:vAlign w:val="center"/>
          </w:tcPr>
          <w:p>
            <w:r>
              <w:rPr>
                <w:b w:val="false"/>
                <w:bCs w:val="false"/>
                <w:color w:val="1F2937"/>
                <w:sz w:val="19"/>
                <w:szCs w:val="19"/>
              </w:rPr>
              <w:t xml:space="preserve">Ontwerp en ontwerpprincipes</w:t>
            </w:r>
          </w:p>
        </w:tc>
        <w:tc>
          <w:tcPr>
            <w:tcW w:type="dxa" w:w="1300"/>
            <w:tcMar>
              <w:top w:type="dxa" w:w="100"/>
              <w:left w:type="dxa" w:w="120"/>
              <w:bottom w:type="dxa" w:w="100"/>
              <w:right w:type="dxa" w:w="120"/>
            </w:tcMar>
            <w:vAlign w:val="center"/>
          </w:tcPr>
          <w:p>
            <w:r>
              <w:rPr>
                <w:b w:val="false"/>
                <w:bCs w:val="false"/>
                <w:color w:val="1F2937"/>
                <w:sz w:val="19"/>
                <w:szCs w:val="19"/>
              </w:rPr>
              <w:t xml:space="preserve">Deel 3</w:t>
            </w:r>
          </w:p>
        </w:tc>
        <w:tc>
          <w:tcPr>
            <w:tcW w:type="dxa" w:w="4938"/>
            <w:tcMar>
              <w:top w:type="dxa" w:w="100"/>
              <w:left w:type="dxa" w:w="120"/>
              <w:bottom w:type="dxa" w:w="100"/>
              <w:right w:type="dxa" w:w="120"/>
            </w:tcMar>
            <w:vAlign w:val="center"/>
          </w:tcPr>
          <w:p>
            <w:r>
              <w:rPr>
                <w:b w:val="false"/>
                <w:bCs w:val="false"/>
                <w:color w:val="1F2937"/>
                <w:sz w:val="19"/>
                <w:szCs w:val="19"/>
              </w:rPr>
              <w:t xml:space="preserve">Kan ik uitleggen waarom hergebruik wijzigbaarheid verlaagt?</w:t>
            </w:r>
          </w:p>
        </w:tc>
      </w:tr>
      <w:tr>
        <w:trPr>
          <w:cantSplit/>
        </w:trPr>
        <w:tc>
          <w:tcPr>
            <w:tcW w:type="dxa" w:w="2900"/>
            <w:tcMar>
              <w:top w:type="dxa" w:w="100"/>
              <w:left w:type="dxa" w:w="120"/>
              <w:bottom w:type="dxa" w:w="100"/>
              <w:right w:type="dxa" w:w="120"/>
            </w:tcMar>
            <w:vAlign w:val="center"/>
          </w:tcPr>
          <w:p>
            <w:r>
              <w:rPr>
                <w:b w:val="false"/>
                <w:bCs w:val="false"/>
                <w:color w:val="1F2937"/>
                <w:sz w:val="19"/>
                <w:szCs w:val="19"/>
              </w:rPr>
              <w:t xml:space="preserve">Stijlen en patronen</w:t>
            </w:r>
          </w:p>
        </w:tc>
        <w:tc>
          <w:tcPr>
            <w:tcW w:type="dxa" w:w="1300"/>
            <w:tcMar>
              <w:top w:type="dxa" w:w="100"/>
              <w:left w:type="dxa" w:w="120"/>
              <w:bottom w:type="dxa" w:w="100"/>
              <w:right w:type="dxa" w:w="120"/>
            </w:tcMar>
            <w:vAlign w:val="center"/>
          </w:tcPr>
          <w:p>
            <w:r>
              <w:rPr>
                <w:b w:val="false"/>
                <w:bCs w:val="false"/>
                <w:color w:val="1F2937"/>
                <w:sz w:val="19"/>
                <w:szCs w:val="19"/>
              </w:rPr>
              <w:t xml:space="preserve">Deel 4, 5</w:t>
            </w:r>
          </w:p>
        </w:tc>
        <w:tc>
          <w:tcPr>
            <w:tcW w:type="dxa" w:w="4938"/>
            <w:tcMar>
              <w:top w:type="dxa" w:w="100"/>
              <w:left w:type="dxa" w:w="120"/>
              <w:bottom w:type="dxa" w:w="100"/>
              <w:right w:type="dxa" w:w="120"/>
            </w:tcMar>
            <w:vAlign w:val="center"/>
          </w:tcPr>
          <w:p>
            <w:r>
              <w:rPr>
                <w:b w:val="false"/>
                <w:bCs w:val="false"/>
                <w:color w:val="1F2937"/>
                <w:sz w:val="19"/>
                <w:szCs w:val="19"/>
              </w:rPr>
              <w:t xml:space="preserve">Kan ik een stijl beoordelen tegen vier vragen in plaats van tegen voorkeur?</w:t>
            </w:r>
          </w:p>
        </w:tc>
      </w:tr>
      <w:tr>
        <w:trPr>
          <w:cantSplit/>
        </w:trPr>
        <w:tc>
          <w:tcPr>
            <w:tcW w:type="dxa" w:w="2900"/>
            <w:tcMar>
              <w:top w:type="dxa" w:w="100"/>
              <w:left w:type="dxa" w:w="120"/>
              <w:bottom w:type="dxa" w:w="100"/>
              <w:right w:type="dxa" w:w="120"/>
            </w:tcMar>
            <w:vAlign w:val="center"/>
          </w:tcPr>
          <w:p>
            <w:r>
              <w:rPr>
                <w:b w:val="false"/>
                <w:bCs w:val="false"/>
                <w:color w:val="1F2937"/>
                <w:sz w:val="19"/>
                <w:szCs w:val="19"/>
              </w:rPr>
              <w:t xml:space="preserve">Kwaliteitstactieken</w:t>
            </w:r>
          </w:p>
        </w:tc>
        <w:tc>
          <w:tcPr>
            <w:tcW w:type="dxa" w:w="1300"/>
            <w:tcMar>
              <w:top w:type="dxa" w:w="100"/>
              <w:left w:type="dxa" w:w="120"/>
              <w:bottom w:type="dxa" w:w="100"/>
              <w:right w:type="dxa" w:w="120"/>
            </w:tcMar>
            <w:vAlign w:val="center"/>
          </w:tcPr>
          <w:p>
            <w:r>
              <w:rPr>
                <w:b w:val="false"/>
                <w:bCs w:val="false"/>
                <w:color w:val="1F2937"/>
                <w:sz w:val="19"/>
                <w:szCs w:val="19"/>
              </w:rPr>
              <w:t xml:space="preserve">Deel 6</w:t>
            </w:r>
          </w:p>
        </w:tc>
        <w:tc>
          <w:tcPr>
            <w:tcW w:type="dxa" w:w="4938"/>
            <w:tcMar>
              <w:top w:type="dxa" w:w="100"/>
              <w:left w:type="dxa" w:w="120"/>
              <w:bottom w:type="dxa" w:w="100"/>
              <w:right w:type="dxa" w:w="120"/>
            </w:tcMar>
            <w:vAlign w:val="center"/>
          </w:tcPr>
          <w:p>
            <w:r>
              <w:rPr>
                <w:b w:val="false"/>
                <w:bCs w:val="false"/>
                <w:color w:val="1F2937"/>
                <w:sz w:val="19"/>
                <w:szCs w:val="19"/>
              </w:rPr>
              <w:t xml:space="preserve">Kan ik bij een scenario een tactiek kiezen én de prijs benoemen?</w:t>
            </w:r>
          </w:p>
        </w:tc>
      </w:tr>
      <w:tr>
        <w:trPr>
          <w:cantSplit/>
        </w:trPr>
        <w:tc>
          <w:tcPr>
            <w:tcW w:type="dxa" w:w="2900"/>
            <w:tcMar>
              <w:top w:type="dxa" w:w="100"/>
              <w:left w:type="dxa" w:w="120"/>
              <w:bottom w:type="dxa" w:w="100"/>
              <w:right w:type="dxa" w:w="120"/>
            </w:tcMar>
            <w:vAlign w:val="center"/>
          </w:tcPr>
          <w:p>
            <w:r>
              <w:rPr>
                <w:b w:val="false"/>
                <w:bCs w:val="false"/>
                <w:color w:val="1F2937"/>
                <w:sz w:val="19"/>
                <w:szCs w:val="19"/>
              </w:rPr>
              <w:t xml:space="preserve">Technische en cross-cutting concepten</w:t>
            </w:r>
          </w:p>
        </w:tc>
        <w:tc>
          <w:tcPr>
            <w:tcW w:type="dxa" w:w="1300"/>
            <w:tcMar>
              <w:top w:type="dxa" w:w="100"/>
              <w:left w:type="dxa" w:w="120"/>
              <w:bottom w:type="dxa" w:w="100"/>
              <w:right w:type="dxa" w:w="120"/>
            </w:tcMar>
            <w:vAlign w:val="center"/>
          </w:tcPr>
          <w:p>
            <w:r>
              <w:rPr>
                <w:b w:val="false"/>
                <w:bCs w:val="false"/>
                <w:color w:val="1F2937"/>
                <w:sz w:val="19"/>
                <w:szCs w:val="19"/>
              </w:rPr>
              <w:t xml:space="preserve">Deel 8</w:t>
            </w:r>
          </w:p>
        </w:tc>
        <w:tc>
          <w:tcPr>
            <w:tcW w:type="dxa" w:w="4938"/>
            <w:tcMar>
              <w:top w:type="dxa" w:w="100"/>
              <w:left w:type="dxa" w:w="120"/>
              <w:bottom w:type="dxa" w:w="100"/>
              <w:right w:type="dxa" w:w="120"/>
            </w:tcMar>
            <w:vAlign w:val="center"/>
          </w:tcPr>
          <w:p>
            <w:r>
              <w:rPr>
                <w:b w:val="false"/>
                <w:bCs w:val="false"/>
                <w:color w:val="1F2937"/>
                <w:sz w:val="19"/>
                <w:szCs w:val="19"/>
              </w:rPr>
              <w:t xml:space="preserve">Kan ik uitleggen waarom een concept geen natuurlijke eigenaar heeft?</w:t>
            </w:r>
          </w:p>
        </w:tc>
      </w:tr>
      <w:tr>
        <w:trPr>
          <w:cantSplit/>
        </w:trPr>
        <w:tc>
          <w:tcPr>
            <w:tcW w:type="dxa" w:w="2900"/>
            <w:tcMar>
              <w:top w:type="dxa" w:w="100"/>
              <w:left w:type="dxa" w:w="120"/>
              <w:bottom w:type="dxa" w:w="100"/>
              <w:right w:type="dxa" w:w="120"/>
            </w:tcMar>
            <w:vAlign w:val="center"/>
          </w:tcPr>
          <w:p>
            <w:r>
              <w:rPr>
                <w:b w:val="false"/>
                <w:bCs w:val="false"/>
                <w:color w:val="1F2937"/>
                <w:sz w:val="19"/>
                <w:szCs w:val="19"/>
              </w:rPr>
              <w:t xml:space="preserve">Documentatie en communicatie</w:t>
            </w:r>
          </w:p>
        </w:tc>
        <w:tc>
          <w:tcPr>
            <w:tcW w:type="dxa" w:w="1300"/>
            <w:tcMar>
              <w:top w:type="dxa" w:w="100"/>
              <w:left w:type="dxa" w:w="120"/>
              <w:bottom w:type="dxa" w:w="100"/>
              <w:right w:type="dxa" w:w="120"/>
            </w:tcMar>
            <w:vAlign w:val="center"/>
          </w:tcPr>
          <w:p>
            <w:r>
              <w:rPr>
                <w:b w:val="false"/>
                <w:bCs w:val="false"/>
                <w:color w:val="1F2937"/>
                <w:sz w:val="19"/>
                <w:szCs w:val="19"/>
              </w:rPr>
              <w:t xml:space="preserve">Deel 7</w:t>
            </w:r>
          </w:p>
        </w:tc>
        <w:tc>
          <w:tcPr>
            <w:tcW w:type="dxa" w:w="4938"/>
            <w:tcMar>
              <w:top w:type="dxa" w:w="100"/>
              <w:left w:type="dxa" w:w="120"/>
              <w:bottom w:type="dxa" w:w="100"/>
              <w:right w:type="dxa" w:w="120"/>
            </w:tcMar>
            <w:vAlign w:val="center"/>
          </w:tcPr>
          <w:p>
            <w:r>
              <w:rPr>
                <w:b w:val="false"/>
                <w:bCs w:val="false"/>
                <w:color w:val="1F2937"/>
                <w:sz w:val="19"/>
                <w:szCs w:val="19"/>
              </w:rPr>
              <w:t xml:space="preserve">Kan ik het verschil benoemen tussen beschrijving en beslissingsvastlegging?</w:t>
            </w:r>
          </w:p>
        </w:tc>
      </w:tr>
      <w:tr>
        <w:trPr>
          <w:cantSplit/>
        </w:trPr>
        <w:tc>
          <w:tcPr>
            <w:tcW w:type="dxa" w:w="2900"/>
            <w:tcMar>
              <w:top w:type="dxa" w:w="100"/>
              <w:left w:type="dxa" w:w="120"/>
              <w:bottom w:type="dxa" w:w="100"/>
              <w:right w:type="dxa" w:w="120"/>
            </w:tcMar>
            <w:vAlign w:val="center"/>
          </w:tcPr>
          <w:p>
            <w:r>
              <w:rPr>
                <w:b w:val="false"/>
                <w:bCs w:val="false"/>
                <w:color w:val="1F2937"/>
                <w:sz w:val="19"/>
                <w:szCs w:val="19"/>
              </w:rPr>
              <w:t xml:space="preserve">Evaluatie</w:t>
            </w:r>
          </w:p>
        </w:tc>
        <w:tc>
          <w:tcPr>
            <w:tcW w:type="dxa" w:w="1300"/>
            <w:tcMar>
              <w:top w:type="dxa" w:w="100"/>
              <w:left w:type="dxa" w:w="120"/>
              <w:bottom w:type="dxa" w:w="100"/>
              <w:right w:type="dxa" w:w="120"/>
            </w:tcMar>
            <w:vAlign w:val="center"/>
          </w:tcPr>
          <w:p>
            <w:r>
              <w:rPr>
                <w:b w:val="false"/>
                <w:bCs w:val="false"/>
                <w:color w:val="1F2937"/>
                <w:sz w:val="19"/>
                <w:szCs w:val="19"/>
              </w:rPr>
              <w:t xml:space="preserve">Deel 9</w:t>
            </w:r>
          </w:p>
        </w:tc>
        <w:tc>
          <w:tcPr>
            <w:tcW w:type="dxa" w:w="4938"/>
            <w:tcMar>
              <w:top w:type="dxa" w:w="100"/>
              <w:left w:type="dxa" w:w="120"/>
              <w:bottom w:type="dxa" w:w="100"/>
              <w:right w:type="dxa" w:w="120"/>
            </w:tcMar>
            <w:vAlign w:val="center"/>
          </w:tcPr>
          <w:p>
            <w:r>
              <w:rPr>
                <w:b w:val="false"/>
                <w:bCs w:val="false"/>
                <w:color w:val="1F2937"/>
                <w:sz w:val="19"/>
                <w:szCs w:val="19"/>
              </w:rPr>
              <w:t xml:space="preserve">Kan ik de vier uitkomstsoorten toepassen op een concrete bevinding?</w:t>
            </w:r>
          </w:p>
        </w:tc>
      </w:tr>
    </w:tbl>
    <w:p>
      <w:pPr>
        <w:spacing w:after="300"/>
      </w:pPr>
    </w:p>
    <w:p>
      <w:pPr>
        <w:spacing w:after="160" w:line="276"/>
      </w:pPr>
      <w:r>
        <w:rPr>
          <w:b/>
          <w:bCs/>
          <w:color w:val="1F2937"/>
          <w:sz w:val="22"/>
          <w:szCs w:val="22"/>
        </w:rPr>
        <w:t xml:space="preserve">Waar deze cursus verder gaat dan het examen</w:t>
      </w:r>
      <w:r>
        <w:rPr>
          <w:color w:val="1F2937"/>
          <w:sz w:val="22"/>
          <w:szCs w:val="22"/>
        </w:rPr>
        <w:t xml:space="preserve"> — en dat is bewust: het meetplan (deel 6), de drie borgingslagen (deel 9) en het onderscheid tussen ontwerpfout en gerealiseerd risico (deel 9) zijn praktijkstof, geen examenstof. Ze staan er omdat u ze in uw werk nodig hebt.</w:t>
      </w:r>
    </w:p>
    <w:p>
      <w:pPr>
        <w:spacing w:after="160" w:line="276"/>
      </w:pPr>
      <w:r>
        <w:rPr>
          <w:b/>
          <w:bCs/>
          <w:color w:val="1F2937"/>
          <w:sz w:val="22"/>
          <w:szCs w:val="22"/>
        </w:rPr>
        <w:t xml:space="preserve">Waar het examen verder gaat dan deze cursus.</w:t>
      </w:r>
      <w:r>
        <w:rPr>
          <w:color w:val="1F2937"/>
          <w:sz w:val="22"/>
          <w:szCs w:val="22"/>
        </w:rPr>
        <w:t xml:space="preserve"> Het curriculum bevat onderwerpen die wij lichter hebben behandeld dan de examenweging suggereert, met name rond ontwerpmethodiek en enkele technische concepten. Loop het officiële curriculum door en werk de hoofdstukken bij waar u zichzelf laag scoort. Het curriculum is kosteloos beschikbaar.</w:t>
      </w:r>
    </w:p>
    <w:p>
      <w:pPr>
        <w:pStyle w:val="Heading1"/>
        <w:pBdr>
          <w:bottom w:val="single" w:color="E5E7EB" w:sz="6" w:space="6"/>
        </w:pBdr>
        <w:spacing w:after="180" w:before="380"/>
      </w:pPr>
      <w:r>
        <w:rPr>
          <w:b/>
          <w:bCs/>
          <w:color w:val="1F3A5F"/>
          <w:sz w:val="30"/>
          <w:szCs w:val="30"/>
        </w:rPr>
        <w:t xml:space="preserve">10.4 De capstoneverdediging</w:t>
      </w:r>
    </w:p>
    <w:p>
      <w:pPr>
        <w:pStyle w:val="Heading2"/>
        <w:spacing w:after="140" w:before="260"/>
      </w:pPr>
      <w:r>
        <w:rPr>
          <w:b/>
          <w:bCs/>
          <w:color w:val="4A6789"/>
          <w:sz w:val="24"/>
          <w:szCs w:val="24"/>
        </w:rPr>
        <w:t xml:space="preserve">Waarom een verdediging</w:t>
      </w:r>
    </w:p>
    <w:p>
      <w:pPr>
        <w:spacing w:after="160" w:line="276"/>
      </w:pPr>
      <w:r>
        <w:rPr>
          <w:color w:val="1F2937"/>
          <w:sz w:val="22"/>
          <w:szCs w:val="22"/>
        </w:rPr>
        <w:t xml:space="preserve">Een architectuur die u niet kunt uitleggen, is geen architectuur maar een voorkeur. Het vermogen om een ontwerp te verantwoorden tegenover mensen die er niet bij waren — en die andere belangen hebben — is de vaardigheid die een architect onderscheidt van een ontwerper.</w:t>
      </w:r>
    </w:p>
    <w:p>
      <w:pPr>
        <w:spacing w:after="160" w:line="276"/>
      </w:pPr>
      <w:r>
        <w:rPr>
          <w:color w:val="1F2937"/>
          <w:sz w:val="22"/>
          <w:szCs w:val="22"/>
        </w:rPr>
        <w:t xml:space="preserve">Dit is ook de vaardigheid die in Mutatie 1.0 nergens werd gevraagd, en dat is geen toeval. Waar niemand hoeft uit te leggen waarom iets zo is, wordt de vraag ook niet gesteld.</w:t>
      </w:r>
    </w:p>
    <w:p>
      <w:pPr>
        <w:pStyle w:val="Heading2"/>
        <w:spacing w:after="140" w:before="260"/>
      </w:pPr>
      <w:r>
        <w:rPr>
          <w:b/>
          <w:bCs/>
          <w:color w:val="4A6789"/>
          <w:sz w:val="24"/>
          <w:szCs w:val="24"/>
        </w:rPr>
        <w:t xml:space="preserve">De opzet</w:t>
      </w:r>
    </w:p>
    <w:p>
      <w:pPr>
        <w:spacing w:after="160" w:line="276"/>
      </w:pPr>
      <w:r>
        <w:rPr>
          <w:color w:val="1F2937"/>
          <w:sz w:val="22"/>
          <w:szCs w:val="22"/>
        </w:rPr>
        <w:t xml:space="preserve">U verdedigt uw architectuurschets voor Mutatie 2.0 voor een panel van vier rollen, ieder met eigen belangen:</w:t>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500"/>
        <w:gridCol w:w="6638"/>
      </w:tblGrid>
      <w:tr>
        <w:trPr>
          <w:tblHeader/>
        </w:trPr>
        <w:tc>
          <w:tcPr>
            <w:tcW w:type="dxa" w:w="2500"/>
            <w:shd w:fill="1F3A5F" w:val="clear"/>
            <w:tcMar>
              <w:top w:type="dxa" w:w="100"/>
              <w:left w:type="dxa" w:w="120"/>
              <w:bottom w:type="dxa" w:w="100"/>
              <w:right w:type="dxa" w:w="120"/>
            </w:tcMar>
            <w:vAlign w:val="center"/>
          </w:tcPr>
          <w:p>
            <w:r>
              <w:rPr>
                <w:b/>
                <w:bCs/>
                <w:color w:val="FFFFFF"/>
                <w:sz w:val="19"/>
                <w:szCs w:val="19"/>
              </w:rPr>
              <w:t xml:space="preserve">Rol</w:t>
            </w:r>
          </w:p>
        </w:tc>
        <w:tc>
          <w:tcPr>
            <w:tcW w:type="dxa" w:w="6638"/>
            <w:shd w:fill="1F3A5F" w:val="clear"/>
            <w:tcMar>
              <w:top w:type="dxa" w:w="100"/>
              <w:left w:type="dxa" w:w="120"/>
              <w:bottom w:type="dxa" w:w="100"/>
              <w:right w:type="dxa" w:w="120"/>
            </w:tcMar>
            <w:vAlign w:val="center"/>
          </w:tcPr>
          <w:p>
            <w:r>
              <w:rPr>
                <w:b/>
                <w:bCs/>
                <w:color w:val="FFFFFF"/>
                <w:sz w:val="19"/>
                <w:szCs w:val="19"/>
              </w:rPr>
              <w:t xml:space="preserve">Wat hem bezighoudt</w:t>
            </w:r>
          </w:p>
        </w:tc>
      </w:tr>
      <w:tr>
        <w:trPr>
          <w:cantSplit/>
        </w:trPr>
        <w:tc>
          <w:tcPr>
            <w:tcW w:type="dxa" w:w="2500"/>
            <w:tcMar>
              <w:top w:type="dxa" w:w="100"/>
              <w:left w:type="dxa" w:w="120"/>
              <w:bottom w:type="dxa" w:w="100"/>
              <w:right w:type="dxa" w:w="120"/>
            </w:tcMar>
            <w:vAlign w:val="center"/>
          </w:tcPr>
          <w:p>
            <w:r>
              <w:rPr>
                <w:b w:val="false"/>
                <w:bCs w:val="false"/>
                <w:color w:val="1F2937"/>
                <w:sz w:val="19"/>
                <w:szCs w:val="19"/>
              </w:rPr>
              <w:t xml:space="preserve">Directeur IT</w:t>
            </w:r>
          </w:p>
        </w:tc>
        <w:tc>
          <w:tcPr>
            <w:tcW w:type="dxa" w:w="6638"/>
            <w:tcMar>
              <w:top w:type="dxa" w:w="100"/>
              <w:left w:type="dxa" w:w="120"/>
              <w:bottom w:type="dxa" w:w="100"/>
              <w:right w:type="dxa" w:w="120"/>
            </w:tcMar>
            <w:vAlign w:val="center"/>
          </w:tcPr>
          <w:p>
            <w:r>
              <w:rPr>
                <w:b w:val="false"/>
                <w:bCs w:val="false"/>
                <w:color w:val="1F2937"/>
                <w:sz w:val="19"/>
                <w:szCs w:val="19"/>
              </w:rPr>
              <w:t xml:space="preserve">Kosten, risico, en of dit niet weer een Mutatie 1.0 wordt</w:t>
            </w:r>
          </w:p>
        </w:tc>
      </w:tr>
      <w:tr>
        <w:trPr>
          <w:cantSplit/>
        </w:trPr>
        <w:tc>
          <w:tcPr>
            <w:tcW w:type="dxa" w:w="2500"/>
            <w:tcMar>
              <w:top w:type="dxa" w:w="100"/>
              <w:left w:type="dxa" w:w="120"/>
              <w:bottom w:type="dxa" w:w="100"/>
              <w:right w:type="dxa" w:w="120"/>
            </w:tcMar>
            <w:vAlign w:val="center"/>
          </w:tcPr>
          <w:p>
            <w:r>
              <w:rPr>
                <w:b w:val="false"/>
                <w:bCs w:val="false"/>
                <w:color w:val="1F2937"/>
                <w:sz w:val="19"/>
                <w:szCs w:val="19"/>
              </w:rPr>
              <w:t xml:space="preserve">Product owner</w:t>
            </w:r>
          </w:p>
        </w:tc>
        <w:tc>
          <w:tcPr>
            <w:tcW w:type="dxa" w:w="6638"/>
            <w:tcMar>
              <w:top w:type="dxa" w:w="100"/>
              <w:left w:type="dxa" w:w="120"/>
              <w:bottom w:type="dxa" w:w="100"/>
              <w:right w:type="dxa" w:w="120"/>
            </w:tcMar>
            <w:vAlign w:val="center"/>
          </w:tcPr>
          <w:p>
            <w:r>
              <w:rPr>
                <w:b w:val="false"/>
                <w:bCs w:val="false"/>
                <w:color w:val="1F2937"/>
                <w:sz w:val="19"/>
                <w:szCs w:val="19"/>
              </w:rPr>
              <w:t xml:space="preserve">Doorlooptijd, zichtbare functionaliteit, en waarom er in week 8 een prototype moet komen</w:t>
            </w:r>
          </w:p>
        </w:tc>
      </w:tr>
      <w:tr>
        <w:trPr>
          <w:cantSplit/>
        </w:trPr>
        <w:tc>
          <w:tcPr>
            <w:tcW w:type="dxa" w:w="2500"/>
            <w:tcMar>
              <w:top w:type="dxa" w:w="100"/>
              <w:left w:type="dxa" w:w="120"/>
              <w:bottom w:type="dxa" w:w="100"/>
              <w:right w:type="dxa" w:w="120"/>
            </w:tcMar>
            <w:vAlign w:val="center"/>
          </w:tcPr>
          <w:p>
            <w:r>
              <w:rPr>
                <w:b w:val="false"/>
                <w:bCs w:val="false"/>
                <w:color w:val="1F2937"/>
                <w:sz w:val="19"/>
                <w:szCs w:val="19"/>
              </w:rPr>
              <w:t xml:space="preserve">Beheer</w:t>
            </w:r>
          </w:p>
        </w:tc>
        <w:tc>
          <w:tcPr>
            <w:tcW w:type="dxa" w:w="6638"/>
            <w:tcMar>
              <w:top w:type="dxa" w:w="100"/>
              <w:left w:type="dxa" w:w="120"/>
              <w:bottom w:type="dxa" w:w="100"/>
              <w:right w:type="dxa" w:w="120"/>
            </w:tcMar>
            <w:vAlign w:val="center"/>
          </w:tcPr>
          <w:p>
            <w:r>
              <w:rPr>
                <w:b w:val="false"/>
                <w:bCs w:val="false"/>
                <w:color w:val="1F2937"/>
                <w:sz w:val="19"/>
                <w:szCs w:val="19"/>
              </w:rPr>
              <w:t xml:space="preserve">Wat er 's nachts gebeurt, hoe een storing te volgen is, en wie er wordt gebeld</w:t>
            </w:r>
          </w:p>
        </w:tc>
      </w:tr>
      <w:tr>
        <w:trPr>
          <w:cantSplit/>
        </w:trPr>
        <w:tc>
          <w:tcPr>
            <w:tcW w:type="dxa" w:w="2500"/>
            <w:tcMar>
              <w:top w:type="dxa" w:w="100"/>
              <w:left w:type="dxa" w:w="120"/>
              <w:bottom w:type="dxa" w:w="100"/>
              <w:right w:type="dxa" w:w="120"/>
            </w:tcMar>
            <w:vAlign w:val="center"/>
          </w:tcPr>
          <w:p>
            <w:r>
              <w:rPr>
                <w:b w:val="false"/>
                <w:bCs w:val="false"/>
                <w:color w:val="1F2937"/>
                <w:sz w:val="19"/>
                <w:szCs w:val="19"/>
              </w:rPr>
              <w:t xml:space="preserve">Compliance</w:t>
            </w:r>
          </w:p>
        </w:tc>
        <w:tc>
          <w:tcPr>
            <w:tcW w:type="dxa" w:w="6638"/>
            <w:tcMar>
              <w:top w:type="dxa" w:w="100"/>
              <w:left w:type="dxa" w:w="120"/>
              <w:bottom w:type="dxa" w:w="100"/>
              <w:right w:type="dxa" w:w="120"/>
            </w:tcMar>
            <w:vAlign w:val="center"/>
          </w:tcPr>
          <w:p>
            <w:r>
              <w:rPr>
                <w:b w:val="false"/>
                <w:bCs w:val="false"/>
                <w:color w:val="1F2937"/>
                <w:sz w:val="19"/>
                <w:szCs w:val="19"/>
              </w:rPr>
              <w:t xml:space="preserve">Aantoonbaarheid, bewaartermijnen, en wat de toezichthouder zal vragen</w:t>
            </w:r>
          </w:p>
        </w:tc>
      </w:tr>
    </w:tbl>
    <w:p>
      <w:pPr>
        <w:spacing w:after="300"/>
      </w:pPr>
    </w:p>
    <w:p>
      <w:pPr>
        <w:spacing w:after="160" w:line="276"/>
      </w:pPr>
      <w:r>
        <w:rPr>
          <w:b/>
          <w:bCs/>
          <w:color w:val="1F2937"/>
          <w:sz w:val="22"/>
          <w:szCs w:val="22"/>
        </w:rPr>
        <w:t xml:space="preserve">Duur: </w:t>
      </w:r>
      <w:r>
        <w:rPr>
          <w:color w:val="1F2937"/>
          <w:sz w:val="22"/>
          <w:szCs w:val="22"/>
        </w:rPr>
        <w:t xml:space="preserve">20 minuten per deelnemer — 5 minuten presentatie, 15 minuten vragen.</w:t>
      </w:r>
    </w:p>
    <w:p>
      <w:pPr>
        <w:spacing w:after="160" w:line="276"/>
      </w:pPr>
      <w:r>
        <w:rPr>
          <w:b/>
          <w:bCs/>
          <w:color w:val="1F2937"/>
          <w:sz w:val="22"/>
          <w:szCs w:val="22"/>
        </w:rPr>
        <w:t xml:space="preserve">Wat u meebrengt: </w:t>
      </w:r>
      <w:r>
        <w:rPr>
          <w:color w:val="1F2937"/>
          <w:sz w:val="22"/>
          <w:szCs w:val="22"/>
        </w:rPr>
        <w:t xml:space="preserve">uw C4-niveau 1 en 2, uw oplossingsstrategie van één A4, uw bevindingenregister met restrisico's, en uw drie ADR's. Meer niet — de beperking is onderdeel van de oefening.</w:t>
      </w:r>
    </w:p>
    <w:p>
      <w:pPr>
        <w:pStyle w:val="Heading2"/>
        <w:spacing w:after="140" w:before="260"/>
      </w:pPr>
      <w:r>
        <w:rPr>
          <w:b/>
          <w:bCs/>
          <w:color w:val="4A6789"/>
          <w:sz w:val="24"/>
          <w:szCs w:val="24"/>
        </w:rPr>
        <w:t xml:space="preserve">De vijf beoordelingscriteria</w:t>
      </w:r>
    </w:p>
    <w:p>
      <w:pPr>
        <w:spacing w:after="160" w:line="276"/>
      </w:pPr>
      <w:r>
        <w:rPr>
          <w:b/>
          <w:bCs/>
          <w:color w:val="1F2937"/>
          <w:sz w:val="22"/>
          <w:szCs w:val="22"/>
        </w:rPr>
        <w:t xml:space="preserve">1. Verantwoording tegen drijvers.</w:t>
      </w:r>
      <w:r>
        <w:rPr>
          <w:color w:val="1F2937"/>
          <w:sz w:val="22"/>
          <w:szCs w:val="22"/>
        </w:rPr>
        <w:t xml:space="preserve"> Elke belangrijke keuze is terug te voeren op een kwaliteitsscenario of een randvoorwaarde, niet op een methodenaam of een voorkeur.</w:t>
      </w:r>
    </w:p>
    <w:p>
      <w:pPr>
        <w:spacing w:after="160" w:line="276"/>
      </w:pPr>
      <w:r>
        <w:rPr>
          <w:b/>
          <w:bCs/>
          <w:color w:val="1F2937"/>
          <w:sz w:val="22"/>
          <w:szCs w:val="22"/>
        </w:rPr>
        <w:t xml:space="preserve">2. Benoemde prijs.</w:t>
      </w:r>
      <w:r>
        <w:rPr>
          <w:color w:val="1F2937"/>
          <w:sz w:val="22"/>
          <w:szCs w:val="22"/>
        </w:rPr>
        <w:t xml:space="preserve"> Bij elke keuze kunt u zeggen wat er slechter van wordt en wie dat merkt — in niet-technische termen waar de prijs bij een niet-technische partij landt.</w:t>
      </w:r>
    </w:p>
    <w:p>
      <w:pPr>
        <w:spacing w:after="160" w:line="276"/>
      </w:pPr>
      <w:r>
        <w:rPr>
          <w:b/>
          <w:bCs/>
          <w:color w:val="1F2937"/>
          <w:sz w:val="22"/>
          <w:szCs w:val="22"/>
        </w:rPr>
        <w:t xml:space="preserve">3. Bevindingen gesloten mét restrisico.</w:t>
      </w:r>
      <w:r>
        <w:rPr>
          <w:color w:val="1F2937"/>
          <w:sz w:val="22"/>
          <w:szCs w:val="22"/>
        </w:rPr>
        <w:t xml:space="preserve"> Alle zeven bevindingen zijn geadresseerd, met maatregel, handhaving, eigenaar, en het restrisico dat overblijft.</w:t>
      </w:r>
    </w:p>
    <w:p>
      <w:pPr>
        <w:spacing w:after="160" w:line="276"/>
      </w:pPr>
      <w:r>
        <w:rPr>
          <w:b/>
          <w:bCs/>
          <w:color w:val="1F2937"/>
          <w:sz w:val="22"/>
          <w:szCs w:val="22"/>
        </w:rPr>
        <w:t xml:space="preserve">4. Omgaan met kritiek.</w:t>
      </w:r>
      <w:r>
        <w:rPr>
          <w:color w:val="1F2937"/>
          <w:sz w:val="22"/>
          <w:szCs w:val="22"/>
        </w:rPr>
        <w:t xml:space="preserve"> U kunt een terecht punt erkennen zonder uw hele ontwerp op te geven, en een onterecht punt weerleggen zonder de vragensteller te overrijden.</w:t>
      </w:r>
    </w:p>
    <w:p>
      <w:pPr>
        <w:spacing w:after="160" w:line="276"/>
      </w:pPr>
      <w:r>
        <w:rPr>
          <w:b/>
          <w:bCs/>
          <w:color w:val="1F2937"/>
          <w:sz w:val="22"/>
          <w:szCs w:val="22"/>
        </w:rPr>
        <w:t xml:space="preserve">5. Overdraagbaarheid.</w:t>
      </w:r>
      <w:r>
        <w:rPr>
          <w:color w:val="1F2937"/>
          <w:sz w:val="22"/>
          <w:szCs w:val="22"/>
        </w:rPr>
        <w:t xml:space="preserve"> Iemand die er niet bij was, begrijpt na uw uitleg waar hij moet beginnen.</w:t>
      </w:r>
    </w:p>
    <w:p>
      <w:pPr>
        <w:pStyle w:val="Heading2"/>
        <w:spacing w:after="140" w:before="260"/>
      </w:pPr>
      <w:r>
        <w:rPr>
          <w:b/>
          <w:bCs/>
          <w:color w:val="4A6789"/>
          <w:sz w:val="24"/>
          <w:szCs w:val="24"/>
        </w:rPr>
        <w:t xml:space="preserve">Wat het panel doet</w:t>
      </w:r>
    </w:p>
    <w:p>
      <w:pPr>
        <w:spacing w:after="160" w:line="276"/>
      </w:pPr>
      <w:r>
        <w:rPr>
          <w:color w:val="1F2937"/>
          <w:sz w:val="22"/>
          <w:szCs w:val="22"/>
        </w:rPr>
        <w:t xml:space="preserve">Het panel stelt bewust vragen die u niet hebt voorbereid. Sommige zijn terecht en raken een echte zwakte; sommige berusten op een misverstand; en enkele zijn onterecht maar met overtuiging gebracht.</w:t>
      </w:r>
    </w:p>
    <w:p>
      <w:pPr>
        <w:spacing w:after="160" w:line="276"/>
      </w:pPr>
      <w:r>
        <w:rPr>
          <w:b/>
          <w:bCs/>
          <w:color w:val="1F2937"/>
          <w:sz w:val="22"/>
          <w:szCs w:val="22"/>
        </w:rPr>
        <w:t xml:space="preserve">Dat onderscheid maken is criterium 4, </w:t>
      </w:r>
      <w:r>
        <w:rPr>
          <w:color w:val="1F2937"/>
          <w:sz w:val="22"/>
          <w:szCs w:val="22"/>
        </w:rPr>
        <w:t xml:space="preserve">en het is de moeilijkste vaardigheid van dit niveau. De drie reacties die u nodig hebt:</w:t>
      </w:r>
    </w:p>
    <w:p>
      <w:pPr>
        <w:pStyle w:val="ListParagraph"/>
        <w:numPr>
          <w:ilvl w:val="0"/>
          <w:numId w:val="3"/>
        </w:numPr>
        <w:spacing w:after="100"/>
      </w:pPr>
      <w:r>
        <w:rPr>
          <w:b/>
          <w:bCs/>
          <w:color w:val="1F2937"/>
          <w:sz w:val="22"/>
          <w:szCs w:val="22"/>
        </w:rPr>
        <w:t xml:space="preserve">Erkennen.</w:t>
      </w:r>
      <w:r>
        <w:rPr>
          <w:color w:val="1F2937"/>
          <w:sz w:val="22"/>
          <w:szCs w:val="22"/>
        </w:rPr>
        <w:t xml:space="preserve"> "Dat klopt, en het staat als restrisico in mijn register. Wat ik ertegen heb gedaan is X; wat overblijft is Y." Een erkend zwak punt met een benoemde maatregel is sterker dan een ontkend zwak punt.</w:t>
      </w:r>
    </w:p>
    <w:p>
      <w:pPr>
        <w:pStyle w:val="ListParagraph"/>
        <w:numPr>
          <w:ilvl w:val="0"/>
          <w:numId w:val="3"/>
        </w:numPr>
        <w:spacing w:after="100"/>
      </w:pPr>
      <w:r>
        <w:rPr>
          <w:b/>
          <w:bCs/>
          <w:color w:val="1F2937"/>
          <w:sz w:val="22"/>
          <w:szCs w:val="22"/>
        </w:rPr>
        <w:t xml:space="preserve">Verhelderen.</w:t>
      </w:r>
      <w:r>
        <w:rPr>
          <w:color w:val="1F2937"/>
          <w:sz w:val="22"/>
          <w:szCs w:val="22"/>
        </w:rPr>
        <w:t xml:space="preserve"> "Ik denk dat we langs elkaar heen praten — bedoelt u X of Y?" Veel kritiek berust op een misverstand over wat u hebt voorgesteld, en dat oplossen is geen verdediging maar communicatie.</w:t>
      </w:r>
    </w:p>
    <w:p>
      <w:pPr>
        <w:pStyle w:val="ListParagraph"/>
        <w:numPr>
          <w:ilvl w:val="0"/>
          <w:numId w:val="3"/>
        </w:numPr>
        <w:spacing w:after="100"/>
      </w:pPr>
      <w:r>
        <w:rPr>
          <w:b/>
          <w:bCs/>
          <w:color w:val="1F2937"/>
          <w:sz w:val="22"/>
          <w:szCs w:val="22"/>
        </w:rPr>
        <w:t xml:space="preserve">Weerleggen.</w:t>
      </w:r>
      <w:r>
        <w:rPr>
          <w:color w:val="1F2937"/>
          <w:sz w:val="22"/>
          <w:szCs w:val="22"/>
        </w:rPr>
        <w:t xml:space="preserve"> "Dat zou gelden als we vier teams hadden. Bij twee teams weegt de operationele last zwaarder dan de winst, en daarom is de herzieningsgrens vastgelegd op vier." Weerleggen doet u met de drijvers en de context, nooit met autoriteit of met een methodenaam.</w:t>
      </w:r>
    </w:p>
    <w:p>
      <w:pPr>
        <w:spacing w:after="160" w:line="276"/>
      </w:pPr>
      <w:r>
        <w:rPr>
          <w:b/>
          <w:bCs/>
          <w:color w:val="1F2937"/>
          <w:sz w:val="22"/>
          <w:szCs w:val="22"/>
        </w:rPr>
        <w:t xml:space="preserve">Wat u niet doet: </w:t>
      </w:r>
      <w:r>
        <w:rPr>
          <w:color w:val="1F2937"/>
          <w:sz w:val="22"/>
          <w:szCs w:val="22"/>
        </w:rPr>
        <w:t xml:space="preserve">bij de eerste tegenwerping uw hele ontwerp herzien, of elke tegenwerping pareren tot het panel opgeeft. Beide zijn een vorm van niet luisteren.</w:t>
      </w:r>
    </w:p>
    <w:p>
      <w:pPr>
        <w:pStyle w:val="Heading1"/>
        <w:pBdr>
          <w:bottom w:val="single" w:color="E5E7EB" w:sz="6" w:space="6"/>
        </w:pBdr>
        <w:spacing w:after="180" w:before="380"/>
      </w:pPr>
      <w:r>
        <w:rPr>
          <w:b/>
          <w:bCs/>
          <w:color w:val="1F3A5F"/>
          <w:sz w:val="30"/>
          <w:szCs w:val="30"/>
        </w:rPr>
        <w:t xml:space="preserve">10.5 De boog van dit niveau</w:t>
      </w:r>
    </w:p>
    <w:p>
      <w:pPr>
        <w:spacing w:after="160" w:line="276"/>
      </w:pPr>
      <w:r>
        <w:rPr>
          <w:color w:val="1F2937"/>
          <w:sz w:val="22"/>
          <w:szCs w:val="22"/>
        </w:rPr>
        <w:t xml:space="preserve">Het loont om terug te kijken op wat er tien delen lang is gebeurd.</w:t>
      </w:r>
    </w:p>
    <w:p>
      <w:pPr>
        <w:spacing w:after="160" w:line="276"/>
      </w:pPr>
      <w:r>
        <w:rPr>
          <w:color w:val="1F2937"/>
          <w:sz w:val="22"/>
          <w:szCs w:val="22"/>
        </w:rPr>
        <w:t xml:space="preserve">Deel 1 begon met een post-mortem: een programma van veertien maanden en 3,4 miljoen euro, gepauzeerd, met zeven bevindingen. U schreef toen een positioneringsverklaring van 150 woorden over wat u dacht dat de belangrijkste architectuurkeuze zou worden.</w:t>
      </w:r>
    </w:p>
    <w:p>
      <w:pPr>
        <w:spacing w:after="160" w:line="276"/>
      </w:pPr>
      <w:r>
        <w:rPr>
          <w:b/>
          <w:bCs/>
          <w:color w:val="1F2937"/>
          <w:sz w:val="22"/>
          <w:szCs w:val="22"/>
        </w:rPr>
        <w:t xml:space="preserve">Deel 2 tot en met 9</w:t>
      </w:r>
      <w:r>
        <w:rPr>
          <w:color w:val="1F2937"/>
          <w:sz w:val="22"/>
          <w:szCs w:val="22"/>
        </w:rPr>
        <w:t xml:space="preserve"> sloten die bevindingen één voor één:</w:t>
      </w:r>
    </w:p>
    <w:tbl>
      <w:tblPr>
        <w:tblW w:type="dxa" w:w="89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3400"/>
        <w:gridCol w:w="1300"/>
        <w:gridCol w:w="4238"/>
      </w:tblGrid>
      <w:tr>
        <w:trPr>
          <w:tblHeader/>
        </w:trPr>
        <w:tc>
          <w:tcPr>
            <w:tcW w:type="dxa" w:w="3400"/>
            <w:shd w:fill="1F3A5F" w:val="clear"/>
            <w:tcMar>
              <w:top w:type="dxa" w:w="100"/>
              <w:left w:type="dxa" w:w="120"/>
              <w:bottom w:type="dxa" w:w="100"/>
              <w:right w:type="dxa" w:w="120"/>
            </w:tcMar>
            <w:vAlign w:val="center"/>
          </w:tcPr>
          <w:p>
            <w:r>
              <w:rPr>
                <w:b/>
                <w:bCs/>
                <w:color w:val="FFFFFF"/>
                <w:sz w:val="19"/>
                <w:szCs w:val="19"/>
              </w:rPr>
              <w:t xml:space="preserve">Bevinding</w:t>
            </w:r>
          </w:p>
        </w:tc>
        <w:tc>
          <w:tcPr>
            <w:tcW w:type="dxa" w:w="1300"/>
            <w:shd w:fill="1F3A5F" w:val="clear"/>
            <w:tcMar>
              <w:top w:type="dxa" w:w="100"/>
              <w:left w:type="dxa" w:w="120"/>
              <w:bottom w:type="dxa" w:w="100"/>
              <w:right w:type="dxa" w:w="120"/>
            </w:tcMar>
            <w:vAlign w:val="center"/>
          </w:tcPr>
          <w:p>
            <w:r>
              <w:rPr>
                <w:b/>
                <w:bCs/>
                <w:color w:val="FFFFFF"/>
                <w:sz w:val="19"/>
                <w:szCs w:val="19"/>
              </w:rPr>
              <w:t xml:space="preserve">Gesloten in</w:t>
            </w:r>
          </w:p>
        </w:tc>
        <w:tc>
          <w:tcPr>
            <w:tcW w:type="dxa" w:w="4238"/>
            <w:shd w:fill="1F3A5F" w:val="clear"/>
            <w:tcMar>
              <w:top w:type="dxa" w:w="100"/>
              <w:left w:type="dxa" w:w="120"/>
              <w:bottom w:type="dxa" w:w="100"/>
              <w:right w:type="dxa" w:w="120"/>
            </w:tcMar>
            <w:vAlign w:val="center"/>
          </w:tcPr>
          <w:p>
            <w:r>
              <w:rPr>
                <w:b/>
                <w:bCs/>
                <w:color w:val="FFFFFF"/>
                <w:sz w:val="19"/>
                <w:szCs w:val="19"/>
              </w:rPr>
              <w:t xml:space="preserve">Met</w:t>
            </w:r>
          </w:p>
        </w:tc>
      </w:tr>
      <w:tr>
        <w:trPr>
          <w:cantSplit/>
        </w:trPr>
        <w:tc>
          <w:tcPr>
            <w:tcW w:type="dxa" w:w="3400"/>
            <w:tcMar>
              <w:top w:type="dxa" w:w="100"/>
              <w:left w:type="dxa" w:w="120"/>
              <w:bottom w:type="dxa" w:w="100"/>
              <w:right w:type="dxa" w:w="120"/>
            </w:tcMar>
            <w:vAlign w:val="center"/>
          </w:tcPr>
          <w:p>
            <w:r>
              <w:rPr>
                <w:b w:val="false"/>
                <w:bCs w:val="false"/>
                <w:color w:val="1F2937"/>
                <w:sz w:val="19"/>
                <w:szCs w:val="19"/>
              </w:rPr>
              <w:t xml:space="preserve">B2 kwaliteitseisen niet geoperationaliseerd</w:t>
            </w:r>
          </w:p>
        </w:tc>
        <w:tc>
          <w:tcPr>
            <w:tcW w:type="dxa" w:w="1300"/>
            <w:tcMar>
              <w:top w:type="dxa" w:w="100"/>
              <w:left w:type="dxa" w:w="120"/>
              <w:bottom w:type="dxa" w:w="100"/>
              <w:right w:type="dxa" w:w="120"/>
            </w:tcMar>
            <w:vAlign w:val="center"/>
          </w:tcPr>
          <w:p>
            <w:r>
              <w:rPr>
                <w:b w:val="false"/>
                <w:bCs w:val="false"/>
                <w:color w:val="1F2937"/>
                <w:sz w:val="19"/>
                <w:szCs w:val="19"/>
              </w:rPr>
              <w:t xml:space="preserve">Deel 2</w:t>
            </w:r>
          </w:p>
        </w:tc>
        <w:tc>
          <w:tcPr>
            <w:tcW w:type="dxa" w:w="4238"/>
            <w:tcMar>
              <w:top w:type="dxa" w:w="100"/>
              <w:left w:type="dxa" w:w="120"/>
              <w:bottom w:type="dxa" w:w="100"/>
              <w:right w:type="dxa" w:w="120"/>
            </w:tcMar>
            <w:vAlign w:val="center"/>
          </w:tcPr>
          <w:p>
            <w:r>
              <w:rPr>
                <w:b w:val="false"/>
                <w:bCs w:val="false"/>
                <w:color w:val="1F2937"/>
                <w:sz w:val="19"/>
                <w:szCs w:val="19"/>
              </w:rPr>
              <w:t xml:space="preserve">Zesdelige scenario's, kwaliteitsboom, vier drijvers</w:t>
            </w:r>
          </w:p>
        </w:tc>
      </w:tr>
      <w:tr>
        <w:trPr>
          <w:cantSplit/>
        </w:trPr>
        <w:tc>
          <w:tcPr>
            <w:tcW w:type="dxa" w:w="3400"/>
            <w:tcMar>
              <w:top w:type="dxa" w:w="100"/>
              <w:left w:type="dxa" w:w="120"/>
              <w:bottom w:type="dxa" w:w="100"/>
              <w:right w:type="dxa" w:w="120"/>
            </w:tcMar>
            <w:vAlign w:val="center"/>
          </w:tcPr>
          <w:p>
            <w:r>
              <w:rPr>
                <w:b w:val="false"/>
                <w:bCs w:val="false"/>
                <w:color w:val="1F2937"/>
                <w:sz w:val="19"/>
                <w:szCs w:val="19"/>
              </w:rPr>
              <w:t xml:space="preserve">B3 alles hangt met alles samen</w:t>
            </w:r>
          </w:p>
        </w:tc>
        <w:tc>
          <w:tcPr>
            <w:tcW w:type="dxa" w:w="1300"/>
            <w:tcMar>
              <w:top w:type="dxa" w:w="100"/>
              <w:left w:type="dxa" w:w="120"/>
              <w:bottom w:type="dxa" w:w="100"/>
              <w:right w:type="dxa" w:w="120"/>
            </w:tcMar>
            <w:vAlign w:val="center"/>
          </w:tcPr>
          <w:p>
            <w:r>
              <w:rPr>
                <w:b w:val="false"/>
                <w:bCs w:val="false"/>
                <w:color w:val="1F2937"/>
                <w:sz w:val="19"/>
                <w:szCs w:val="19"/>
              </w:rPr>
              <w:t xml:space="preserve">Deel 3</w:t>
            </w:r>
          </w:p>
        </w:tc>
        <w:tc>
          <w:tcPr>
            <w:tcW w:type="dxa" w:w="4238"/>
            <w:tcMar>
              <w:top w:type="dxa" w:w="100"/>
              <w:left w:type="dxa" w:w="120"/>
              <w:bottom w:type="dxa" w:w="100"/>
              <w:right w:type="dxa" w:w="120"/>
            </w:tcMar>
            <w:vAlign w:val="center"/>
          </w:tcPr>
          <w:p>
            <w:r>
              <w:rPr>
                <w:b w:val="false"/>
                <w:bCs w:val="false"/>
                <w:color w:val="1F2937"/>
                <w:sz w:val="19"/>
                <w:szCs w:val="19"/>
              </w:rPr>
              <w:t xml:space="preserve">Cohesie op reden-van-verandering, information hiding, indeling naar domein</w:t>
            </w:r>
          </w:p>
        </w:tc>
      </w:tr>
      <w:tr>
        <w:trPr>
          <w:cantSplit/>
        </w:trPr>
        <w:tc>
          <w:tcPr>
            <w:tcW w:type="dxa" w:w="3400"/>
            <w:tcMar>
              <w:top w:type="dxa" w:w="100"/>
              <w:left w:type="dxa" w:w="120"/>
              <w:bottom w:type="dxa" w:w="100"/>
              <w:right w:type="dxa" w:w="120"/>
            </w:tcMar>
            <w:vAlign w:val="center"/>
          </w:tcPr>
          <w:p>
            <w:r>
              <w:rPr>
                <w:b w:val="false"/>
                <w:bCs w:val="false"/>
                <w:color w:val="1F2937"/>
                <w:sz w:val="19"/>
                <w:szCs w:val="19"/>
              </w:rPr>
              <w:t xml:space="preserve">B4 stijl past niet bij het probleem</w:t>
            </w:r>
          </w:p>
        </w:tc>
        <w:tc>
          <w:tcPr>
            <w:tcW w:type="dxa" w:w="1300"/>
            <w:tcMar>
              <w:top w:type="dxa" w:w="100"/>
              <w:left w:type="dxa" w:w="120"/>
              <w:bottom w:type="dxa" w:w="100"/>
              <w:right w:type="dxa" w:w="120"/>
            </w:tcMar>
            <w:vAlign w:val="center"/>
          </w:tcPr>
          <w:p>
            <w:r>
              <w:rPr>
                <w:b w:val="false"/>
                <w:bCs w:val="false"/>
                <w:color w:val="1F2937"/>
                <w:sz w:val="19"/>
                <w:szCs w:val="19"/>
              </w:rPr>
              <w:t xml:space="preserve">Deel 4, 5</w:t>
            </w:r>
          </w:p>
        </w:tc>
        <w:tc>
          <w:tcPr>
            <w:tcW w:type="dxa" w:w="4238"/>
            <w:tcMar>
              <w:top w:type="dxa" w:w="100"/>
              <w:left w:type="dxa" w:w="120"/>
              <w:bottom w:type="dxa" w:w="100"/>
              <w:right w:type="dxa" w:w="120"/>
            </w:tcMar>
            <w:vAlign w:val="center"/>
          </w:tcPr>
          <w:p>
            <w:r>
              <w:rPr>
                <w:b w:val="false"/>
                <w:bCs w:val="false"/>
                <w:color w:val="1F2937"/>
                <w:sz w:val="19"/>
                <w:szCs w:val="19"/>
              </w:rPr>
              <w:t xml:space="preserve">Structuur- en distributievraag gescheiden; vier drijvers getoetst; nul van vier</w:t>
            </w:r>
          </w:p>
        </w:tc>
      </w:tr>
      <w:tr>
        <w:trPr>
          <w:cantSplit/>
        </w:trPr>
        <w:tc>
          <w:tcPr>
            <w:tcW w:type="dxa" w:w="3400"/>
            <w:tcMar>
              <w:top w:type="dxa" w:w="100"/>
              <w:left w:type="dxa" w:w="120"/>
              <w:bottom w:type="dxa" w:w="100"/>
              <w:right w:type="dxa" w:w="120"/>
            </w:tcMar>
            <w:vAlign w:val="center"/>
          </w:tcPr>
          <w:p>
            <w:r>
              <w:rPr>
                <w:b w:val="false"/>
                <w:bCs w:val="false"/>
                <w:color w:val="1F2937"/>
                <w:sz w:val="19"/>
                <w:szCs w:val="19"/>
              </w:rPr>
              <w:t xml:space="preserve">B5 kwaliteit te laat gemeten</w:t>
            </w:r>
          </w:p>
        </w:tc>
        <w:tc>
          <w:tcPr>
            <w:tcW w:type="dxa" w:w="1300"/>
            <w:tcMar>
              <w:top w:type="dxa" w:w="100"/>
              <w:left w:type="dxa" w:w="120"/>
              <w:bottom w:type="dxa" w:w="100"/>
              <w:right w:type="dxa" w:w="120"/>
            </w:tcMar>
            <w:vAlign w:val="center"/>
          </w:tcPr>
          <w:p>
            <w:r>
              <w:rPr>
                <w:b w:val="false"/>
                <w:bCs w:val="false"/>
                <w:color w:val="1F2937"/>
                <w:sz w:val="19"/>
                <w:szCs w:val="19"/>
              </w:rPr>
              <w:t xml:space="preserve">Deel 6</w:t>
            </w:r>
          </w:p>
        </w:tc>
        <w:tc>
          <w:tcPr>
            <w:tcW w:type="dxa" w:w="4238"/>
            <w:tcMar>
              <w:top w:type="dxa" w:w="100"/>
              <w:left w:type="dxa" w:w="120"/>
              <w:bottom w:type="dxa" w:w="100"/>
              <w:right w:type="dxa" w:w="120"/>
            </w:tcMar>
            <w:vAlign w:val="center"/>
          </w:tcPr>
          <w:p>
            <w:r>
              <w:rPr>
                <w:b w:val="false"/>
                <w:bCs w:val="false"/>
                <w:color w:val="1F2937"/>
                <w:sz w:val="19"/>
                <w:szCs w:val="19"/>
              </w:rPr>
              <w:t xml:space="preserve">Meetplan met datums; meten voor een derde van de looptijd</w:t>
            </w:r>
          </w:p>
        </w:tc>
      </w:tr>
      <w:tr>
        <w:trPr>
          <w:cantSplit/>
        </w:trPr>
        <w:tc>
          <w:tcPr>
            <w:tcW w:type="dxa" w:w="3400"/>
            <w:tcMar>
              <w:top w:type="dxa" w:w="100"/>
              <w:left w:type="dxa" w:w="120"/>
              <w:bottom w:type="dxa" w:w="100"/>
              <w:right w:type="dxa" w:w="120"/>
            </w:tcMar>
            <w:vAlign w:val="center"/>
          </w:tcPr>
          <w:p>
            <w:r>
              <w:rPr>
                <w:b w:val="false"/>
                <w:bCs w:val="false"/>
                <w:color w:val="1F2937"/>
                <w:sz w:val="19"/>
                <w:szCs w:val="19"/>
              </w:rPr>
              <w:t xml:space="preserve">B1 geen expliciete architectuur</w:t>
            </w:r>
          </w:p>
        </w:tc>
        <w:tc>
          <w:tcPr>
            <w:tcW w:type="dxa" w:w="1300"/>
            <w:tcMar>
              <w:top w:type="dxa" w:w="100"/>
              <w:left w:type="dxa" w:w="120"/>
              <w:bottom w:type="dxa" w:w="100"/>
              <w:right w:type="dxa" w:w="120"/>
            </w:tcMar>
            <w:vAlign w:val="center"/>
          </w:tcPr>
          <w:p>
            <w:r>
              <w:rPr>
                <w:b w:val="false"/>
                <w:bCs w:val="false"/>
                <w:color w:val="1F2937"/>
                <w:sz w:val="19"/>
                <w:szCs w:val="19"/>
              </w:rPr>
              <w:t xml:space="preserve">Deel 7</w:t>
            </w:r>
          </w:p>
        </w:tc>
        <w:tc>
          <w:tcPr>
            <w:tcW w:type="dxa" w:w="4238"/>
            <w:tcMar>
              <w:top w:type="dxa" w:w="100"/>
              <w:left w:type="dxa" w:w="120"/>
              <w:bottom w:type="dxa" w:w="100"/>
              <w:right w:type="dxa" w:w="120"/>
            </w:tcMar>
            <w:vAlign w:val="center"/>
          </w:tcPr>
          <w:p>
            <w:r>
              <w:rPr>
                <w:b w:val="false"/>
                <w:bCs w:val="false"/>
                <w:color w:val="1F2937"/>
                <w:sz w:val="19"/>
                <w:szCs w:val="19"/>
              </w:rPr>
              <w:t xml:space="preserve">ADR's met context en alternatieven</w:t>
            </w:r>
          </w:p>
        </w:tc>
      </w:tr>
      <w:tr>
        <w:trPr>
          <w:cantSplit/>
        </w:trPr>
        <w:tc>
          <w:tcPr>
            <w:tcW w:type="dxa" w:w="3400"/>
            <w:tcMar>
              <w:top w:type="dxa" w:w="100"/>
              <w:left w:type="dxa" w:w="120"/>
              <w:bottom w:type="dxa" w:w="100"/>
              <w:right w:type="dxa" w:w="120"/>
            </w:tcMar>
            <w:vAlign w:val="center"/>
          </w:tcPr>
          <w:p>
            <w:r>
              <w:rPr>
                <w:b w:val="false"/>
                <w:bCs w:val="false"/>
                <w:color w:val="1F2937"/>
                <w:sz w:val="19"/>
                <w:szCs w:val="19"/>
              </w:rPr>
              <w:t xml:space="preserve">B6 kennis in hoofden</w:t>
            </w:r>
          </w:p>
        </w:tc>
        <w:tc>
          <w:tcPr>
            <w:tcW w:type="dxa" w:w="1300"/>
            <w:tcMar>
              <w:top w:type="dxa" w:w="100"/>
              <w:left w:type="dxa" w:w="120"/>
              <w:bottom w:type="dxa" w:w="100"/>
              <w:right w:type="dxa" w:w="120"/>
            </w:tcMar>
            <w:vAlign w:val="center"/>
          </w:tcPr>
          <w:p>
            <w:r>
              <w:rPr>
                <w:b w:val="false"/>
                <w:bCs w:val="false"/>
                <w:color w:val="1F2937"/>
                <w:sz w:val="19"/>
                <w:szCs w:val="19"/>
              </w:rPr>
              <w:t xml:space="preserve">Deel 7</w:t>
            </w:r>
          </w:p>
        </w:tc>
        <w:tc>
          <w:tcPr>
            <w:tcW w:type="dxa" w:w="4238"/>
            <w:tcMar>
              <w:top w:type="dxa" w:w="100"/>
              <w:left w:type="dxa" w:w="120"/>
              <w:bottom w:type="dxa" w:w="100"/>
              <w:right w:type="dxa" w:w="120"/>
            </w:tcMar>
            <w:vAlign w:val="center"/>
          </w:tcPr>
          <w:p>
            <w:r>
              <w:rPr>
                <w:b w:val="false"/>
                <w:bCs w:val="false"/>
                <w:color w:val="1F2937"/>
                <w:sz w:val="19"/>
                <w:szCs w:val="19"/>
              </w:rPr>
              <w:t xml:space="preserve">arc42-kern, C4, overdrachtstoets</w:t>
            </w:r>
          </w:p>
        </w:tc>
      </w:tr>
      <w:tr>
        <w:trPr>
          <w:cantSplit/>
        </w:trPr>
        <w:tc>
          <w:tcPr>
            <w:tcW w:type="dxa" w:w="3400"/>
            <w:tcMar>
              <w:top w:type="dxa" w:w="100"/>
              <w:left w:type="dxa" w:w="120"/>
              <w:bottom w:type="dxa" w:w="100"/>
              <w:right w:type="dxa" w:w="120"/>
            </w:tcMar>
            <w:vAlign w:val="center"/>
          </w:tcPr>
          <w:p>
            <w:r>
              <w:rPr>
                <w:b w:val="false"/>
                <w:bCs w:val="false"/>
                <w:color w:val="1F2937"/>
                <w:sz w:val="19"/>
                <w:szCs w:val="19"/>
              </w:rPr>
              <w:t xml:space="preserve">B7 cross-cutting per team verschillend</w:t>
            </w:r>
          </w:p>
        </w:tc>
        <w:tc>
          <w:tcPr>
            <w:tcW w:type="dxa" w:w="1300"/>
            <w:tcMar>
              <w:top w:type="dxa" w:w="100"/>
              <w:left w:type="dxa" w:w="120"/>
              <w:bottom w:type="dxa" w:w="100"/>
              <w:right w:type="dxa" w:w="120"/>
            </w:tcMar>
            <w:vAlign w:val="center"/>
          </w:tcPr>
          <w:p>
            <w:r>
              <w:rPr>
                <w:b w:val="false"/>
                <w:bCs w:val="false"/>
                <w:color w:val="1F2937"/>
                <w:sz w:val="19"/>
                <w:szCs w:val="19"/>
              </w:rPr>
              <w:t xml:space="preserve">Deel 8</w:t>
            </w:r>
          </w:p>
        </w:tc>
        <w:tc>
          <w:tcPr>
            <w:tcW w:type="dxa" w:w="4238"/>
            <w:tcMar>
              <w:top w:type="dxa" w:w="100"/>
              <w:left w:type="dxa" w:w="120"/>
              <w:bottom w:type="dxa" w:w="100"/>
              <w:right w:type="dxa" w:w="120"/>
            </w:tcMar>
            <w:vAlign w:val="center"/>
          </w:tcPr>
          <w:p>
            <w:r>
              <w:rPr>
                <w:b w:val="false"/>
                <w:bCs w:val="false"/>
                <w:color w:val="1F2937"/>
                <w:sz w:val="19"/>
                <w:szCs w:val="19"/>
              </w:rPr>
              <w:t xml:space="preserve">Concepten met handhaving en eigenaar</w:t>
            </w:r>
          </w:p>
        </w:tc>
      </w:tr>
      <w:tr>
        <w:trPr>
          <w:cantSplit/>
        </w:trPr>
        <w:tc>
          <w:tcPr>
            <w:tcW w:type="dxa" w:w="3400"/>
            <w:tcMar>
              <w:top w:type="dxa" w:w="100"/>
              <w:left w:type="dxa" w:w="120"/>
              <w:bottom w:type="dxa" w:w="100"/>
              <w:right w:type="dxa" w:w="120"/>
            </w:tcMar>
            <w:vAlign w:val="center"/>
          </w:tcPr>
          <w:p>
            <w:r>
              <w:rPr>
                <w:b w:val="false"/>
                <w:bCs w:val="false"/>
                <w:color w:val="1F2937"/>
                <w:sz w:val="19"/>
                <w:szCs w:val="19"/>
              </w:rPr>
              <w:t xml:space="preserve">De vraag onder alle zeven</w:t>
            </w:r>
          </w:p>
        </w:tc>
        <w:tc>
          <w:tcPr>
            <w:tcW w:type="dxa" w:w="1300"/>
            <w:tcMar>
              <w:top w:type="dxa" w:w="100"/>
              <w:left w:type="dxa" w:w="120"/>
              <w:bottom w:type="dxa" w:w="100"/>
              <w:right w:type="dxa" w:w="120"/>
            </w:tcMar>
            <w:vAlign w:val="center"/>
          </w:tcPr>
          <w:p>
            <w:r>
              <w:rPr>
                <w:b w:val="false"/>
                <w:bCs w:val="false"/>
                <w:color w:val="1F2937"/>
                <w:sz w:val="19"/>
                <w:szCs w:val="19"/>
              </w:rPr>
              <w:t xml:space="preserve">Deel 9</w:t>
            </w:r>
          </w:p>
        </w:tc>
        <w:tc>
          <w:tcPr>
            <w:tcW w:type="dxa" w:w="4238"/>
            <w:tcMar>
              <w:top w:type="dxa" w:w="100"/>
              <w:left w:type="dxa" w:w="120"/>
              <w:bottom w:type="dxa" w:w="100"/>
              <w:right w:type="dxa" w:w="120"/>
            </w:tcMar>
            <w:vAlign w:val="center"/>
          </w:tcPr>
          <w:p>
            <w:r>
              <w:rPr>
                <w:b w:val="false"/>
                <w:bCs w:val="false"/>
                <w:color w:val="1F2937"/>
                <w:sz w:val="19"/>
                <w:szCs w:val="19"/>
              </w:rPr>
              <w:t xml:space="preserve">Evaluatie en drie borgingslagen</w:t>
            </w:r>
          </w:p>
        </w:tc>
      </w:tr>
    </w:tbl>
    <w:p>
      <w:pPr>
        <w:spacing w:after="300"/>
      </w:pPr>
    </w:p>
    <w:p>
      <w:pPr>
        <w:spacing w:after="160" w:line="276"/>
      </w:pPr>
      <w:r>
        <w:rPr>
          <w:b/>
          <w:bCs/>
          <w:color w:val="1F2937"/>
          <w:sz w:val="22"/>
          <w:szCs w:val="22"/>
        </w:rPr>
        <w:t xml:space="preserve">Wat er in werkelijkheid is gebeurd.</w:t>
      </w:r>
      <w:r>
        <w:rPr>
          <w:color w:val="1F2937"/>
          <w:sz w:val="22"/>
          <w:szCs w:val="22"/>
        </w:rPr>
        <w:t xml:space="preserve"> U hebt niet zeven maatregelen geleerd. U hebt geleerd dat de meeste architectuurschade ontstaat doordat een vraag niet werd gesteld: welke kwaliteitseis rechtvaardigt dit, welke drijver rechtvaardigt die stijl, wat kost dit en wie merkt het, waarom is dit zo, wie bewaakt het.</w:t>
      </w:r>
    </w:p>
    <w:p>
      <w:pPr>
        <w:spacing w:after="160" w:line="276"/>
      </w:pPr>
      <w:r>
        <w:rPr>
          <w:color w:val="1F2937"/>
          <w:sz w:val="22"/>
          <w:szCs w:val="22"/>
        </w:rPr>
        <w:t xml:space="preserve">Dat is ook waarom dit niveau begon met een mislukking. De vragen zijn niet moeilijk; ze worden alleen zelden gesteld, en de kosten van het niet-stellen worden pas maanden later zichtbaar.</w:t>
      </w:r>
    </w:p>
    <w:p>
      <w:pPr>
        <w:spacing w:after="160" w:line="276"/>
      </w:pPr>
      <w:r>
        <w:rPr>
          <w:b/>
          <w:bCs/>
          <w:color w:val="1F2937"/>
          <w:sz w:val="22"/>
          <w:szCs w:val="22"/>
        </w:rPr>
        <w:t xml:space="preserve">Uw positioneringsverklaring.</w:t>
      </w:r>
      <w:r>
        <w:rPr>
          <w:color w:val="1F2937"/>
          <w:sz w:val="22"/>
          <w:szCs w:val="22"/>
        </w:rPr>
        <w:t xml:space="preserve"> Lees hem nu terug. In de meeste gevallen voorspelde u een technologie- of stijlkeuze, en bleek de doorslaggevende keuze van een andere orde te zijn — de indeling van verantwoordelijkheden, de manier waarop mutatiegeschiedenis wordt vastgelegd, of de vraag wie een kader bewaakt.</w:t>
      </w:r>
    </w:p>
    <w:p>
      <w:pPr>
        <w:spacing w:after="160" w:line="276"/>
      </w:pPr>
      <w:r>
        <w:rPr>
          <w:color w:val="1F2937"/>
          <w:sz w:val="22"/>
          <w:szCs w:val="22"/>
        </w:rPr>
        <w:t xml:space="preserve">Dat verschil is de leerwinst van dit niveau, en het is de reden dat u de verklaring letterlijk moest bewaren.</w:t>
      </w:r>
    </w:p>
    <w:p>
      <w:pPr>
        <w:pStyle w:val="Heading1"/>
        <w:pBdr>
          <w:bottom w:val="single" w:color="E5E7EB" w:sz="6" w:space="6"/>
        </w:pBdr>
        <w:spacing w:after="180" w:before="380"/>
      </w:pPr>
      <w:r>
        <w:rPr>
          <w:b/>
          <w:bCs/>
          <w:color w:val="1F3A5F"/>
          <w:sz w:val="30"/>
          <w:szCs w:val="30"/>
        </w:rPr>
        <w:t xml:space="preserve">10.6 Verder na dit niveau</w:t>
      </w:r>
    </w:p>
    <w:p>
      <w:pPr>
        <w:spacing w:after="160" w:line="276"/>
      </w:pPr>
      <w:r>
        <w:rPr>
          <w:b/>
          <w:bCs/>
          <w:color w:val="1F2937"/>
          <w:sz w:val="22"/>
          <w:szCs w:val="22"/>
        </w:rPr>
        <w:t xml:space="preserve">Het examen.</w:t>
      </w:r>
      <w:r>
        <w:rPr>
          <w:color w:val="1F2937"/>
          <w:sz w:val="22"/>
          <w:szCs w:val="22"/>
        </w:rPr>
        <w:t xml:space="preserve"> Meld u aan bij een geaccrediteerd examenbureau. Neem het officiële curriculum door en werk de hoofdstukken bij waar u zichzelf in 10.3 laag scoorde.</w:t>
      </w:r>
    </w:p>
    <w:p>
      <w:pPr>
        <w:spacing w:after="160" w:line="276"/>
      </w:pPr>
      <w:r>
        <w:rPr>
          <w:b/>
          <w:bCs/>
          <w:color w:val="1F2937"/>
          <w:sz w:val="22"/>
          <w:szCs w:val="22"/>
        </w:rPr>
        <w:t xml:space="preserve">Niveau 2 (CPSA-A-modulelandschap).</w:t>
      </w:r>
      <w:r>
        <w:rPr>
          <w:color w:val="1F2937"/>
          <w:sz w:val="22"/>
          <w:szCs w:val="22"/>
        </w:rPr>
        <w:t xml:space="preserve"> Elf delen langs de drie iSAQB-competentiegebieden — methodisch, technologisch, communicatief. De casus loopt door: de daadwerkelijke bouw van Mutatie 2.0. Onderwerpen die op dit niveau zijn aangekondigd en daar worden uitgewerkt: domeingedreven ontwerp en bounded contexts, event sourcing en CQRS, cloud en waarneembaarheid, evolutionaire architectuur met fitness functions, volledige ATAM, en het gremium als Architecture Board.</w:t>
      </w:r>
    </w:p>
    <w:p>
      <w:pPr>
        <w:spacing w:after="160" w:line="276"/>
      </w:pPr>
      <w:r>
        <w:rPr>
          <w:b/>
          <w:bCs/>
          <w:color w:val="1F2937"/>
          <w:sz w:val="22"/>
          <w:szCs w:val="22"/>
        </w:rPr>
        <w:t xml:space="preserve">Niveau 3 (CPSA-A-certificeringstraject).</w:t>
      </w:r>
      <w:r>
        <w:rPr>
          <w:color w:val="1F2937"/>
          <w:sz w:val="22"/>
          <w:szCs w:val="22"/>
        </w:rPr>
        <w:t xml:space="preserve"> Zeven delen rond een eigen certificeringsopdracht, met als sluitstuk een simulatie van het examinatoreninterview. De casus maakt een tijdsprong: Meridiaan neemt een kleiner fonds over en het platform moet van één fonds naar multi-tenant, terwijl de stelselovergang doorloopt.</w:t>
      </w:r>
    </w:p>
    <w:p>
      <w:pPr>
        <w:spacing w:after="160" w:line="276"/>
      </w:pPr>
      <w:r>
        <w:rPr>
          <w:b/>
          <w:bCs/>
          <w:color w:val="1F2937"/>
          <w:sz w:val="22"/>
          <w:szCs w:val="22"/>
        </w:rPr>
        <w:t xml:space="preserve">Wat u morgen kunt doen, ongeacht het vervolg.</w:t>
      </w:r>
      <w:r>
        <w:rPr>
          <w:color w:val="1F2937"/>
          <w:sz w:val="22"/>
          <w:szCs w:val="22"/>
        </w:rPr>
        <w:t xml:space="preserve"> Drie dingen uit dit niveau werken onmiddellijk en kosten niets:</w:t>
      </w:r>
    </w:p>
    <w:p>
      <w:pPr>
        <w:pStyle w:val="ListParagraph"/>
        <w:numPr>
          <w:ilvl w:val="0"/>
          <w:numId w:val="4"/>
        </w:numPr>
        <w:spacing w:after="120"/>
      </w:pPr>
      <w:r>
        <w:rPr>
          <w:color w:val="1F2937"/>
          <w:sz w:val="22"/>
          <w:szCs w:val="22"/>
        </w:rPr>
        <w:t xml:space="preserve">Stel bij elke stellige mededeling de vraag "wie heeft dat vastgesteld, en waaruit?" Dat is het onderscheid tussen randvoorwaarde en aanname, en het is de goedkoopste ingreep die er is.</w:t>
      </w:r>
    </w:p>
    <w:p>
      <w:pPr>
        <w:pStyle w:val="ListParagraph"/>
        <w:numPr>
          <w:ilvl w:val="0"/>
          <w:numId w:val="4"/>
        </w:numPr>
        <w:spacing w:after="120"/>
      </w:pPr>
      <w:r>
        <w:rPr>
          <w:color w:val="1F2937"/>
          <w:sz w:val="22"/>
          <w:szCs w:val="22"/>
        </w:rPr>
        <w:t xml:space="preserve">Schrijf één ADR over een beslissing die deze week wordt genomen. Twintig regels, met context en alternatieven.</w:t>
      </w:r>
    </w:p>
    <w:p>
      <w:pPr>
        <w:pStyle w:val="ListParagraph"/>
        <w:numPr>
          <w:ilvl w:val="0"/>
          <w:numId w:val="4"/>
        </w:numPr>
        <w:spacing w:after="120"/>
      </w:pPr>
      <w:r>
        <w:rPr>
          <w:color w:val="1F2937"/>
          <w:sz w:val="22"/>
          <w:szCs w:val="22"/>
        </w:rPr>
        <w:t xml:space="preserve">Reken één keer uit wat u anders zou meten. Vier schakels maal de latentie, gedeeld door de limiet — de rekensom die in Mutatie 1.0 een jaar had bespaard.</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3"/>
        </w:numPr>
        <w:spacing w:after="100"/>
      </w:pPr>
      <w:r>
        <w:rPr>
          <w:color w:val="1F2937"/>
          <w:sz w:val="22"/>
          <w:szCs w:val="22"/>
        </w:rPr>
        <w:t xml:space="preserve">Het CPSA-F-examen toetst begrip en toepassing, niet reproductie of technologiekennis. Controleer de actuele opzet bij uw examenbureau.</w:t>
      </w:r>
    </w:p>
    <w:p>
      <w:pPr>
        <w:pStyle w:val="ListParagraph"/>
        <w:numPr>
          <w:ilvl w:val="0"/>
          <w:numId w:val="3"/>
        </w:numPr>
        <w:spacing w:after="100"/>
      </w:pPr>
      <w:r>
        <w:rPr>
          <w:color w:val="1F2937"/>
          <w:sz w:val="22"/>
          <w:szCs w:val="22"/>
        </w:rPr>
        <w:t xml:space="preserve">Let bij situatievragen op de contextgegevens: teamaantal, deployritme en randvoorwaarden staan er niet voor de sier.</w:t>
      </w:r>
    </w:p>
    <w:p>
      <w:pPr>
        <w:pStyle w:val="ListParagraph"/>
        <w:numPr>
          <w:ilvl w:val="0"/>
          <w:numId w:val="3"/>
        </w:numPr>
        <w:spacing w:after="100"/>
      </w:pPr>
      <w:r>
        <w:rPr>
          <w:color w:val="1F2937"/>
          <w:sz w:val="22"/>
          <w:szCs w:val="22"/>
        </w:rPr>
        <w:t xml:space="preserve">Deze cursus gaat op enkele punten verder dan het examen (meetplan, borgingslagen, ontwerpfout versus gerealiseerd risico) en op enkele punten minder ver. Loop het officiële curriculum door.</w:t>
      </w:r>
    </w:p>
    <w:p>
      <w:pPr>
        <w:pStyle w:val="ListParagraph"/>
        <w:numPr>
          <w:ilvl w:val="0"/>
          <w:numId w:val="3"/>
        </w:numPr>
        <w:spacing w:after="100"/>
      </w:pPr>
      <w:r>
        <w:rPr>
          <w:color w:val="1F2937"/>
          <w:sz w:val="22"/>
          <w:szCs w:val="22"/>
        </w:rPr>
        <w:t xml:space="preserve">Een architectuur die u niet kunt uitleggen, is geen architectuur maar een voorkeur.</w:t>
      </w:r>
    </w:p>
    <w:p>
      <w:pPr>
        <w:pStyle w:val="ListParagraph"/>
        <w:numPr>
          <w:ilvl w:val="0"/>
          <w:numId w:val="3"/>
        </w:numPr>
        <w:spacing w:after="100"/>
      </w:pPr>
      <w:r>
        <w:rPr>
          <w:color w:val="1F2937"/>
          <w:sz w:val="22"/>
          <w:szCs w:val="22"/>
        </w:rPr>
        <w:t xml:space="preserve">Bij kritiek: erkennen, verhelderen of weerleggen. Een erkend zwak punt met benoemde maatregel is sterker dan een ontkend zwak punt.</w:t>
      </w:r>
    </w:p>
    <w:p>
      <w:pPr>
        <w:pStyle w:val="ListParagraph"/>
        <w:numPr>
          <w:ilvl w:val="0"/>
          <w:numId w:val="3"/>
        </w:numPr>
        <w:spacing w:after="100"/>
      </w:pPr>
      <w:r>
        <w:rPr>
          <w:color w:val="1F2937"/>
          <w:sz w:val="22"/>
          <w:szCs w:val="22"/>
        </w:rPr>
        <w:t xml:space="preserve">De zeven bevindingen zijn geen zeven maatregelen. Ze zijn zeven vormen van dezelfde fout: een vraag die niet werd gesteld.</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3"/>
        </w:numPr>
        <w:spacing w:after="100"/>
      </w:pPr>
      <w:r>
        <w:rPr>
          <w:color w:val="1F2937"/>
          <w:sz w:val="22"/>
          <w:szCs w:val="22"/>
        </w:rPr>
        <w:t xml:space="preserve">iSAQB, Curriculum CPSA-Foundation Level — het volledige curriculum, kosteloos via isaqb.org. Neem dit door vóór het examen.</w:t>
      </w:r>
    </w:p>
    <w:p>
      <w:pPr>
        <w:pStyle w:val="ListParagraph"/>
        <w:numPr>
          <w:ilvl w:val="0"/>
          <w:numId w:val="3"/>
        </w:numPr>
        <w:spacing w:after="100"/>
      </w:pPr>
      <w:r>
        <w:rPr>
          <w:color w:val="1F2937"/>
          <w:sz w:val="22"/>
          <w:szCs w:val="22"/>
        </w:rPr>
        <w:t xml:space="preserve">iSAQB, Advanced Level — modulelandschap en certificeringsvoorwaarden, voor wie doorgaat.</w:t>
      </w:r>
    </w:p>
    <w:p>
      <w:pPr>
        <w:pStyle w:val="ListParagraph"/>
        <w:numPr>
          <w:ilvl w:val="0"/>
          <w:numId w:val="3"/>
        </w:numPr>
        <w:spacing w:after="100"/>
      </w:pPr>
      <w:r>
        <w:rPr>
          <w:color w:val="1F2937"/>
          <w:sz w:val="22"/>
          <w:szCs w:val="22"/>
        </w:rPr>
        <w:t xml:space="preserve">De literatuurlijsten bij deel 1 tot en met 9 van deze cursus.</w:t>
      </w:r>
    </w:p>
    <w:p>
      <w:pPr>
        <w:pStyle w:val="ListParagraph"/>
        <w:numPr>
          <w:ilvl w:val="0"/>
          <w:numId w:val="3"/>
        </w:numPr>
        <w:spacing w:after="100"/>
      </w:pPr>
      <w:r>
        <w:rPr>
          <w:color w:val="1F2937"/>
          <w:sz w:val="22"/>
          <w:szCs w:val="22"/>
        </w:rPr>
        <w:t xml:space="preserve">Toolbijlage bij deze cursus — Structurizr.</w:t>
      </w:r>
    </w:p>
    <w:p>
      <w:pPr>
        <w:pBdr>
          <w:top w:val="single" w:color="E5E7EB" w:sz="4" w:space="8"/>
        </w:pBdr>
        <w:spacing w:before="400"/>
        <w:jc w:val="center"/>
      </w:pPr>
      <w:r>
        <w:rPr>
          <w:i/>
          <w:iCs/>
          <w:color w:val="6B7280"/>
          <w:sz w:val="17"/>
          <w:szCs w:val="17"/>
        </w:rPr>
        <w:t xml:space="preserve">Ductus B.V. · Cursus Softwarearchitectuur · Niveau 1, deel 10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2026-08-17T14:48:59.639Z</dcterms:created>
  <dcterms:modified xsi:type="dcterms:W3CDTF">2026-08-17T14:48:59.643Z</dcterms:modified>
</cp:coreProperties>
</file>

<file path=docProps/custom.xml><?xml version="1.0" encoding="utf-8"?>
<Properties xmlns="http://schemas.openxmlformats.org/officeDocument/2006/custom-properties" xmlns:vt="http://schemas.openxmlformats.org/officeDocument/2006/docPropsVTypes"/>
</file>