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A5F"/>
          <w:sz w:val="44"/>
          <w:szCs w:val="44"/>
        </w:rPr>
        <w:t xml:space="preserve">Deel 10 — Examentraining en capstoneverdediging</w:t>
      </w:r>
    </w:p>
    <w:p>
      <w:pPr>
        <w:spacing w:after="200"/>
      </w:pPr>
      <w:r>
        <w:rPr>
          <w:b/>
          <w:bCs/>
          <w:color w:val="4A6789"/>
          <w:sz w:val="26"/>
          <w:szCs w:val="26"/>
        </w:rPr>
        <w:t xml:space="preserve">Werkboek met opdrachten en uitwerkingen</w:t>
      </w:r>
    </w:p>
    <w:p>
      <w:pPr>
        <w:spacing w:after="400"/>
      </w:pPr>
      <w:r>
        <w:rPr>
          <w:color w:val="6B7280"/>
          <w:sz w:val="20"/>
          <w:szCs w:val="20"/>
        </w:rPr>
        <w:t xml:space="preserve">Cursus Softwarearchitectuur · Niveau 1 (CPSA-F) · Deel 10 van 10</w:t>
      </w:r>
    </w:p>
    <w:p>
      <w:pPr>
        <w:pStyle w:val="Heading1"/>
        <w:pBdr>
          <w:bottom w:val="single" w:color="E5E7EB" w:sz="6" w:space="6"/>
        </w:pBdr>
        <w:spacing w:after="180" w:before="380"/>
      </w:pPr>
      <w:r>
        <w:rPr>
          <w:b/>
          <w:bCs/>
          <w:color w:val="1F3A5F"/>
          <w:sz w:val="30"/>
          <w:szCs w:val="30"/>
        </w:rPr>
        <w:t xml:space="preserve">Materiaal</w:t>
      </w:r>
    </w:p>
    <w:p>
      <w:pPr>
        <w:pStyle w:val="ListParagraph"/>
        <w:numPr>
          <w:ilvl w:val="0"/>
          <w:numId w:val="2"/>
        </w:numPr>
        <w:spacing w:after="100"/>
      </w:pPr>
      <w:r>
        <w:rPr>
          <w:color w:val="1F2937"/>
          <w:sz w:val="22"/>
          <w:szCs w:val="22"/>
        </w:rPr>
        <w:t xml:space="preserve">Bijlage Y: rolkaarten capstonepanel (directeur IT, product owner, beheer, compliance), elk met belangen, vaste vragen en drie onvoorziene vragen</w:t>
      </w:r>
    </w:p>
    <w:p>
      <w:pPr>
        <w:pStyle w:val="ListParagraph"/>
        <w:numPr>
          <w:ilvl w:val="0"/>
          <w:numId w:val="2"/>
        </w:numPr>
        <w:spacing w:after="100"/>
      </w:pPr>
      <w:r>
        <w:rPr>
          <w:color w:val="1F2937"/>
          <w:sz w:val="22"/>
          <w:szCs w:val="22"/>
        </w:rPr>
        <w:t xml:space="preserve">Bijlage Z: beoordelingsformulier verdediging, vijf criteria</w:t>
      </w:r>
    </w:p>
    <w:p>
      <w:pPr>
        <w:pStyle w:val="ListParagraph"/>
        <w:numPr>
          <w:ilvl w:val="0"/>
          <w:numId w:val="2"/>
        </w:numPr>
        <w:spacing w:after="100"/>
      </w:pPr>
      <w:r>
        <w:rPr>
          <w:color w:val="1F2937"/>
          <w:sz w:val="22"/>
          <w:szCs w:val="22"/>
        </w:rPr>
        <w:t xml:space="preserve">Uw volledige capstonedossier</w:t>
      </w:r>
    </w:p>
    <w:p>
      <w:pPr>
        <w:pStyle w:val="ListParagraph"/>
        <w:numPr>
          <w:ilvl w:val="0"/>
          <w:numId w:val="2"/>
        </w:numPr>
        <w:spacing w:after="100"/>
      </w:pPr>
      <w:r>
        <w:rPr>
          <w:color w:val="1F2937"/>
          <w:sz w:val="22"/>
          <w:szCs w:val="22"/>
        </w:rPr>
        <w:t xml:space="preserve">Uw positioneringsverklaring uit opdracht 1.6 — ongeopend sinds deel 1</w:t>
      </w:r>
    </w:p>
    <w:p>
      <w:pPr>
        <w:pStyle w:val="Heading1"/>
        <w:pBdr>
          <w:bottom w:val="single" w:color="E5E7EB" w:sz="6" w:space="6"/>
        </w:pBdr>
        <w:spacing w:after="180" w:before="380"/>
      </w:pPr>
      <w:r>
        <w:rPr>
          <w:b/>
          <w:bCs/>
          <w:color w:val="1F3A5F"/>
          <w:sz w:val="30"/>
          <w:szCs w:val="30"/>
        </w:rPr>
        <w:t xml:space="preserve">Opdracht 10.1 — Oefenexamen (individueel, 40 minuten)</w:t>
      </w:r>
    </w:p>
    <w:p>
      <w:pPr>
        <w:spacing w:after="160" w:line="276"/>
      </w:pPr>
      <w:r>
        <w:rPr>
          <w:color w:val="1F2937"/>
          <w:sz w:val="22"/>
          <w:szCs w:val="22"/>
        </w:rPr>
        <w:t xml:space="preserve">Twintig vragen in de vormen uit paragraaf 10.2. Beantwoord ze onder examenomstandigheden: geen naslag, geen overleg, en houd de tijd bij.</w:t>
      </w:r>
    </w:p>
    <w:p>
      <w:pPr>
        <w:spacing w:after="80" w:before="160" w:line="276"/>
      </w:pPr>
      <w:r>
        <w:rPr>
          <w:b/>
          <w:bCs/>
          <w:color w:val="1F2937"/>
          <w:sz w:val="21"/>
          <w:szCs w:val="21"/>
        </w:rPr>
        <w:t xml:space="preserve">1. </w:t>
      </w:r>
      <w:r>
        <w:rPr>
          <w:color w:val="1F2937"/>
          <w:sz w:val="21"/>
          <w:szCs w:val="21"/>
        </w:rPr>
        <w:t xml:space="preserve">Een systeem heeft twee ontwikkelteams, één deploymoment per twee weken en geen enkel onderdeel met afwijkend schaalprofiel. Welke stelling is het meest verdedigbaar?</w:t>
      </w:r>
    </w:p>
    <w:p>
      <w:pPr>
        <w:spacing w:after="40"/>
        <w:ind w:left="420"/>
      </w:pPr>
      <w:r>
        <w:rPr>
          <w:color w:val="1F2937"/>
          <w:sz w:val="21"/>
          <w:szCs w:val="21"/>
        </w:rPr>
        <w:t xml:space="preserve">a) Microservices verbeteren hier de modulariteit</w:t>
      </w:r>
    </w:p>
    <w:p>
      <w:pPr>
        <w:spacing w:after="40"/>
        <w:ind w:left="420"/>
      </w:pPr>
      <w:r>
        <w:rPr>
          <w:color w:val="1F2937"/>
          <w:sz w:val="21"/>
          <w:szCs w:val="21"/>
        </w:rPr>
        <w:t xml:space="preserve">b) De baten van onafhankelijk uitrollen worden hier niet geïncasseerd</w:t>
      </w:r>
    </w:p>
    <w:p>
      <w:pPr>
        <w:spacing w:after="40"/>
        <w:ind w:left="420"/>
      </w:pPr>
      <w:r>
        <w:rPr>
          <w:color w:val="1F2937"/>
          <w:sz w:val="21"/>
          <w:szCs w:val="21"/>
        </w:rPr>
        <w:t xml:space="preserve">c) Distributie is nodig om de teams onafhankelijk te laten werken</w:t>
      </w:r>
    </w:p>
    <w:p>
      <w:pPr>
        <w:spacing w:after="40"/>
        <w:ind w:left="420"/>
      </w:pPr>
      <w:r>
        <w:rPr>
          <w:color w:val="1F2937"/>
          <w:sz w:val="21"/>
          <w:szCs w:val="21"/>
        </w:rPr>
        <w:t xml:space="preserve">d) Een monoliet is per definitie slecht gemoduleerd</w:t>
      </w:r>
    </w:p>
    <w:p>
      <w:pPr>
        <w:spacing w:after="80" w:before="160" w:line="276"/>
      </w:pPr>
      <w:r>
        <w:rPr>
          <w:b/>
          <w:bCs/>
          <w:color w:val="1F2937"/>
          <w:sz w:val="21"/>
          <w:szCs w:val="21"/>
        </w:rPr>
        <w:t xml:space="preserve">2. </w:t>
      </w:r>
      <w:r>
        <w:rPr>
          <w:color w:val="1F2937"/>
          <w:sz w:val="21"/>
          <w:szCs w:val="21"/>
        </w:rPr>
        <w:t xml:space="preserve">Welke van de volgende is géén kenmerk van een goed kwaliteitsscenario?</w:t>
      </w:r>
    </w:p>
    <w:p>
      <w:pPr>
        <w:spacing w:after="40"/>
        <w:ind w:left="420"/>
      </w:pPr>
      <w:r>
        <w:rPr>
          <w:color w:val="1F2937"/>
          <w:sz w:val="21"/>
          <w:szCs w:val="21"/>
        </w:rPr>
        <w:t xml:space="preserve">a) Het is meetbaar</w:t>
      </w:r>
    </w:p>
    <w:p>
      <w:pPr>
        <w:spacing w:after="40"/>
        <w:ind w:left="420"/>
      </w:pPr>
      <w:r>
        <w:rPr>
          <w:color w:val="1F2937"/>
          <w:sz w:val="21"/>
          <w:szCs w:val="21"/>
        </w:rPr>
        <w:t xml:space="preserve">b) Het sluit ontwerpen uit</w:t>
      </w:r>
    </w:p>
    <w:p>
      <w:pPr>
        <w:spacing w:after="40"/>
        <w:ind w:left="420"/>
      </w:pPr>
      <w:r>
        <w:rPr>
          <w:color w:val="1F2937"/>
          <w:sz w:val="21"/>
          <w:szCs w:val="21"/>
        </w:rPr>
        <w:t xml:space="preserve">c) Het is technologieneutraal geformuleerd</w:t>
      </w:r>
    </w:p>
    <w:p>
      <w:pPr>
        <w:spacing w:after="40"/>
        <w:ind w:left="420"/>
      </w:pPr>
      <w:r>
        <w:rPr>
          <w:color w:val="1F2937"/>
          <w:sz w:val="21"/>
          <w:szCs w:val="21"/>
        </w:rPr>
        <w:t xml:space="preserve">d) Het geldt voor elk denkbaar systeem</w:t>
      </w:r>
    </w:p>
    <w:p>
      <w:pPr>
        <w:spacing w:after="80" w:before="160" w:line="276"/>
      </w:pPr>
      <w:r>
        <w:rPr>
          <w:b/>
          <w:bCs/>
          <w:color w:val="1F2937"/>
          <w:sz w:val="21"/>
          <w:szCs w:val="21"/>
        </w:rPr>
        <w:t xml:space="preserve">3. </w:t>
      </w:r>
      <w:r>
        <w:rPr>
          <w:color w:val="1F2937"/>
          <w:sz w:val="21"/>
          <w:szCs w:val="21"/>
        </w:rPr>
        <w:t xml:space="preserve">Een component wordt door zeven andere componenten gebruikt. Wat volgt daaruit?</w:t>
      </w:r>
    </w:p>
    <w:p>
      <w:pPr>
        <w:spacing w:after="40"/>
        <w:ind w:left="420"/>
      </w:pPr>
      <w:r>
        <w:rPr>
          <w:color w:val="1F2937"/>
          <w:sz w:val="21"/>
          <w:szCs w:val="21"/>
        </w:rPr>
        <w:t xml:space="preserve">a) Het component is goed ontworpen, want het wordt hergebruikt</w:t>
      </w:r>
    </w:p>
    <w:p>
      <w:pPr>
        <w:spacing w:after="40"/>
        <w:ind w:left="420"/>
      </w:pPr>
      <w:r>
        <w:rPr>
          <w:color w:val="1F2937"/>
          <w:sz w:val="21"/>
          <w:szCs w:val="21"/>
        </w:rPr>
        <w:t xml:space="preserve">b) Het component heeft een hoge afferente koppeling en is daardoor star</w:t>
      </w:r>
    </w:p>
    <w:p>
      <w:pPr>
        <w:spacing w:after="40"/>
        <w:ind w:left="420"/>
      </w:pPr>
      <w:r>
        <w:rPr>
          <w:color w:val="1F2937"/>
          <w:sz w:val="21"/>
          <w:szCs w:val="21"/>
        </w:rPr>
        <w:t xml:space="preserve">c) Het component heeft een hoge efferente koppeling en is daardoor kwetsbaar</w:t>
      </w:r>
    </w:p>
    <w:p>
      <w:pPr>
        <w:spacing w:after="40"/>
        <w:ind w:left="420"/>
      </w:pPr>
      <w:r>
        <w:rPr>
          <w:color w:val="1F2937"/>
          <w:sz w:val="21"/>
          <w:szCs w:val="21"/>
        </w:rPr>
        <w:t xml:space="preserve">d) De cohesie van het component is hoog</w:t>
      </w:r>
    </w:p>
    <w:p>
      <w:pPr>
        <w:spacing w:after="80" w:before="160" w:line="276"/>
      </w:pPr>
      <w:r>
        <w:rPr>
          <w:b/>
          <w:bCs/>
          <w:color w:val="1F2937"/>
          <w:sz w:val="21"/>
          <w:szCs w:val="21"/>
        </w:rPr>
        <w:t xml:space="preserve">4. </w:t>
      </w:r>
      <w:r>
        <w:rPr>
          <w:color w:val="1F2937"/>
          <w:sz w:val="21"/>
          <w:szCs w:val="21"/>
        </w:rPr>
        <w:t xml:space="preserve">Welke twee zijn kenmerkend voor logische cohesie? (twee antwoorden)</w:t>
      </w:r>
    </w:p>
    <w:p>
      <w:pPr>
        <w:spacing w:after="40"/>
        <w:ind w:left="420"/>
      </w:pPr>
      <w:r>
        <w:rPr>
          <w:color w:val="1F2937"/>
          <w:sz w:val="21"/>
          <w:szCs w:val="21"/>
        </w:rPr>
        <w:t xml:space="preserve">a) Onderdelen zijn gegroepeerd omdat ze op elkaar lijken</w:t>
      </w:r>
    </w:p>
    <w:p>
      <w:pPr>
        <w:spacing w:after="40"/>
        <w:ind w:left="420"/>
      </w:pPr>
      <w:r>
        <w:rPr>
          <w:color w:val="1F2937"/>
          <w:sz w:val="21"/>
          <w:szCs w:val="21"/>
        </w:rPr>
        <w:t xml:space="preserve">b) Onderdelen veranderen om dezelfde reden</w:t>
      </w:r>
    </w:p>
    <w:p>
      <w:pPr>
        <w:spacing w:after="40"/>
        <w:ind w:left="420"/>
      </w:pPr>
      <w:r>
        <w:rPr>
          <w:color w:val="1F2937"/>
          <w:sz w:val="21"/>
          <w:szCs w:val="21"/>
        </w:rPr>
        <w:t xml:space="preserve">c) De groepering voelt intuïtief juist</w:t>
      </w:r>
    </w:p>
    <w:p>
      <w:pPr>
        <w:spacing w:after="40"/>
        <w:ind w:left="420"/>
      </w:pPr>
      <w:r>
        <w:rPr>
          <w:color w:val="1F2937"/>
          <w:sz w:val="21"/>
          <w:szCs w:val="21"/>
        </w:rPr>
        <w:t xml:space="preserve">d) Onderdelen dragen bij aan precies één taak</w:t>
      </w:r>
    </w:p>
    <w:p>
      <w:pPr>
        <w:spacing w:after="80" w:before="160" w:line="276"/>
      </w:pPr>
      <w:r>
        <w:rPr>
          <w:b/>
          <w:bCs/>
          <w:color w:val="1F2937"/>
          <w:sz w:val="21"/>
          <w:szCs w:val="21"/>
        </w:rPr>
        <w:t xml:space="preserve">5. </w:t>
      </w:r>
      <w:r>
        <w:rPr>
          <w:color w:val="1F2937"/>
          <w:sz w:val="21"/>
          <w:szCs w:val="21"/>
        </w:rPr>
        <w:t xml:space="preserve">Wat verbergt een component volgens het principe van information hiding?</w:t>
      </w:r>
    </w:p>
    <w:p>
      <w:pPr>
        <w:spacing w:after="40"/>
        <w:ind w:left="420"/>
      </w:pPr>
      <w:r>
        <w:rPr>
          <w:color w:val="1F2937"/>
          <w:sz w:val="21"/>
          <w:szCs w:val="21"/>
        </w:rPr>
        <w:t xml:space="preserve">a) Zijn gegevens</w:t>
      </w:r>
    </w:p>
    <w:p>
      <w:pPr>
        <w:spacing w:after="40"/>
        <w:ind w:left="420"/>
      </w:pPr>
      <w:r>
        <w:rPr>
          <w:color w:val="1F2937"/>
          <w:sz w:val="21"/>
          <w:szCs w:val="21"/>
        </w:rPr>
        <w:t xml:space="preserve">b) Zijn interne methoden</w:t>
      </w:r>
    </w:p>
    <w:p>
      <w:pPr>
        <w:spacing w:after="40"/>
        <w:ind w:left="420"/>
      </w:pPr>
      <w:r>
        <w:rPr>
          <w:color w:val="1F2937"/>
          <w:sz w:val="21"/>
          <w:szCs w:val="21"/>
        </w:rPr>
        <w:t xml:space="preserve">c) Een beslissing die waarschijnlijk gaat veranderen</w:t>
      </w:r>
    </w:p>
    <w:p>
      <w:pPr>
        <w:spacing w:after="40"/>
        <w:ind w:left="420"/>
      </w:pPr>
      <w:r>
        <w:rPr>
          <w:color w:val="1F2937"/>
          <w:sz w:val="21"/>
          <w:szCs w:val="21"/>
        </w:rPr>
        <w:t xml:space="preserve">d) Zijn afhankelijkheden</w:t>
      </w:r>
    </w:p>
    <w:p>
      <w:pPr>
        <w:spacing w:after="80" w:before="160" w:line="276"/>
      </w:pPr>
      <w:r>
        <w:rPr>
          <w:b/>
          <w:bCs/>
          <w:color w:val="1F2937"/>
          <w:sz w:val="21"/>
          <w:szCs w:val="21"/>
        </w:rPr>
        <w:t xml:space="preserve">6. </w:t>
      </w:r>
      <w:r>
        <w:rPr>
          <w:color w:val="1F2937"/>
          <w:sz w:val="21"/>
          <w:szCs w:val="21"/>
        </w:rPr>
        <w:t xml:space="preserve">In een hexagonale architectuur wijzen de afhankelijkheden:</w:t>
      </w:r>
    </w:p>
    <w:p>
      <w:pPr>
        <w:spacing w:after="40"/>
        <w:ind w:left="420"/>
      </w:pPr>
      <w:r>
        <w:rPr>
          <w:color w:val="1F2937"/>
          <w:sz w:val="21"/>
          <w:szCs w:val="21"/>
        </w:rPr>
        <w:t xml:space="preserve">a) van het domein naar de adapters</w:t>
      </w:r>
    </w:p>
    <w:p>
      <w:pPr>
        <w:spacing w:after="40"/>
        <w:ind w:left="420"/>
      </w:pPr>
      <w:r>
        <w:rPr>
          <w:color w:val="1F2937"/>
          <w:sz w:val="21"/>
          <w:szCs w:val="21"/>
        </w:rPr>
        <w:t xml:space="preserve">b) van de adapters naar het domein</w:t>
      </w:r>
    </w:p>
    <w:p>
      <w:pPr>
        <w:spacing w:after="40"/>
        <w:ind w:left="420"/>
      </w:pPr>
      <w:r>
        <w:rPr>
          <w:color w:val="1F2937"/>
          <w:sz w:val="21"/>
          <w:szCs w:val="21"/>
        </w:rPr>
        <w:t xml:space="preserve">c) in beide richtingen, afhankelijk van de poort</w:t>
      </w:r>
    </w:p>
    <w:p>
      <w:pPr>
        <w:spacing w:after="40"/>
        <w:ind w:left="420"/>
      </w:pPr>
      <w:r>
        <w:rPr>
          <w:color w:val="1F2937"/>
          <w:sz w:val="21"/>
          <w:szCs w:val="21"/>
        </w:rPr>
        <w:t xml:space="preserve">d) van de aandrijvende naar de aangedreven kant</w:t>
      </w:r>
    </w:p>
    <w:p>
      <w:pPr>
        <w:spacing w:after="80" w:before="160" w:line="276"/>
      </w:pPr>
      <w:r>
        <w:rPr>
          <w:b/>
          <w:bCs/>
          <w:color w:val="1F2937"/>
          <w:sz w:val="21"/>
          <w:szCs w:val="21"/>
        </w:rPr>
        <w:t xml:space="preserve">7. </w:t>
      </w:r>
      <w:r>
        <w:rPr>
          <w:color w:val="1F2937"/>
          <w:sz w:val="21"/>
          <w:szCs w:val="21"/>
        </w:rPr>
        <w:t xml:space="preserve">Welke situatie beschrijft een gevoelig punt in ATAM-termen?</w:t>
      </w:r>
    </w:p>
    <w:p>
      <w:pPr>
        <w:spacing w:after="40"/>
        <w:ind w:left="420"/>
      </w:pPr>
      <w:r>
        <w:rPr>
          <w:color w:val="1F2937"/>
          <w:sz w:val="21"/>
          <w:szCs w:val="21"/>
        </w:rPr>
        <w:t xml:space="preserve">a) Een beslissing die twee kwaliteitseisen tegengesteld beweegt</w:t>
      </w:r>
    </w:p>
    <w:p>
      <w:pPr>
        <w:spacing w:after="40"/>
        <w:ind w:left="420"/>
      </w:pPr>
      <w:r>
        <w:rPr>
          <w:color w:val="1F2937"/>
          <w:sz w:val="21"/>
          <w:szCs w:val="21"/>
        </w:rPr>
        <w:t xml:space="preserve">b) Een plek waar een kleine wijziging een groot effect heeft op één kwaliteitseis</w:t>
      </w:r>
    </w:p>
    <w:p>
      <w:pPr>
        <w:spacing w:after="40"/>
        <w:ind w:left="420"/>
      </w:pPr>
      <w:r>
        <w:rPr>
          <w:color w:val="1F2937"/>
          <w:sz w:val="21"/>
          <w:szCs w:val="21"/>
        </w:rPr>
        <w:t xml:space="preserve">c) Een beslissing die een kwaliteitseis bedreigt</w:t>
      </w:r>
    </w:p>
    <w:p>
      <w:pPr>
        <w:spacing w:after="40"/>
        <w:ind w:left="420"/>
      </w:pPr>
      <w:r>
        <w:rPr>
          <w:color w:val="1F2937"/>
          <w:sz w:val="21"/>
          <w:szCs w:val="21"/>
        </w:rPr>
        <w:t xml:space="preserve">d) Een goede beslissing gegeven de aannames</w:t>
      </w:r>
    </w:p>
    <w:p>
      <w:pPr>
        <w:spacing w:after="80" w:before="160" w:line="276"/>
      </w:pPr>
      <w:r>
        <w:rPr>
          <w:b/>
          <w:bCs/>
          <w:color w:val="1F2937"/>
          <w:sz w:val="21"/>
          <w:szCs w:val="21"/>
        </w:rPr>
        <w:t xml:space="preserve">8. </w:t>
      </w:r>
      <w:r>
        <w:rPr>
          <w:color w:val="1F2937"/>
          <w:sz w:val="21"/>
          <w:szCs w:val="21"/>
        </w:rPr>
        <w:t xml:space="preserve">Een externe dienst kan maximaal 20 aanroepen per seconde verwerken. Bij welk scenario is dit een architectuurbepalende beperking? (twee antwoorden)</w:t>
      </w:r>
    </w:p>
    <w:p>
      <w:pPr>
        <w:spacing w:after="40"/>
        <w:ind w:left="420"/>
      </w:pPr>
      <w:r>
        <w:rPr>
          <w:color w:val="1F2937"/>
          <w:sz w:val="21"/>
          <w:szCs w:val="21"/>
        </w:rPr>
        <w:t xml:space="preserve">a) Een nachtelijke batch van 4.000 records in een venster van vier uur</w:t>
      </w:r>
    </w:p>
    <w:p>
      <w:pPr>
        <w:spacing w:after="40"/>
        <w:ind w:left="420"/>
      </w:pPr>
      <w:r>
        <w:rPr>
          <w:color w:val="1F2937"/>
          <w:sz w:val="21"/>
          <w:szCs w:val="21"/>
        </w:rPr>
        <w:t xml:space="preserve">b) Interactieve verwerking bij 50 gelijktijdige gebruikers met een responsmaat van 2 seconden</w:t>
      </w:r>
    </w:p>
    <w:p>
      <w:pPr>
        <w:spacing w:after="40"/>
        <w:ind w:left="420"/>
      </w:pPr>
      <w:r>
        <w:rPr>
          <w:color w:val="1F2937"/>
          <w:sz w:val="21"/>
          <w:szCs w:val="21"/>
        </w:rPr>
        <w:t xml:space="preserve">c) Een maandelijkse rapportage over 340.000 deelnemers</w:t>
      </w:r>
    </w:p>
    <w:p>
      <w:pPr>
        <w:spacing w:after="40"/>
        <w:ind w:left="420"/>
      </w:pPr>
      <w:r>
        <w:rPr>
          <w:color w:val="1F2937"/>
          <w:sz w:val="21"/>
          <w:szCs w:val="21"/>
        </w:rPr>
        <w:t xml:space="preserve">d) Een schermopbouw waarbij vier componenten elk afzonderlijk de dienst aanroepen</w:t>
      </w:r>
    </w:p>
    <w:p>
      <w:pPr>
        <w:spacing w:after="80" w:before="160" w:line="276"/>
      </w:pPr>
      <w:r>
        <w:rPr>
          <w:b/>
          <w:bCs/>
          <w:color w:val="1F2937"/>
          <w:sz w:val="21"/>
          <w:szCs w:val="21"/>
        </w:rPr>
        <w:t xml:space="preserve">9. </w:t>
      </w:r>
      <w:r>
        <w:rPr>
          <w:color w:val="1F2937"/>
          <w:sz w:val="21"/>
          <w:szCs w:val="21"/>
        </w:rPr>
        <w:t xml:space="preserve">Welke vastlegging is de juiste reactie op een tijdelijke technische fout?</w:t>
      </w:r>
    </w:p>
    <w:p>
      <w:pPr>
        <w:spacing w:after="40"/>
        <w:ind w:left="420"/>
      </w:pPr>
      <w:r>
        <w:rPr>
          <w:color w:val="1F2937"/>
          <w:sz w:val="21"/>
          <w:szCs w:val="21"/>
        </w:rPr>
        <w:t xml:space="preserve">a) De gebruiker een foutmelding tonen met de technische oorzaak</w:t>
      </w:r>
    </w:p>
    <w:p>
      <w:pPr>
        <w:spacing w:after="40"/>
        <w:ind w:left="420"/>
      </w:pPr>
      <w:r>
        <w:rPr>
          <w:color w:val="1F2937"/>
          <w:sz w:val="21"/>
          <w:szCs w:val="21"/>
        </w:rPr>
        <w:t xml:space="preserve">b) De bewerking herhalen en het werk vasthouden; beheer informeren bij drempeloverschrijding</w:t>
      </w:r>
    </w:p>
    <w:p>
      <w:pPr>
        <w:spacing w:after="40"/>
        <w:ind w:left="420"/>
      </w:pPr>
      <w:r>
        <w:rPr>
          <w:color w:val="1F2937"/>
          <w:sz w:val="21"/>
          <w:szCs w:val="21"/>
        </w:rPr>
        <w:t xml:space="preserve">c) De bewerking afbreken en de mutatie verwerpen</w:t>
      </w:r>
    </w:p>
    <w:p>
      <w:pPr>
        <w:spacing w:after="40"/>
        <w:ind w:left="420"/>
      </w:pPr>
      <w:r>
        <w:rPr>
          <w:color w:val="1F2937"/>
          <w:sz w:val="21"/>
          <w:szCs w:val="21"/>
        </w:rPr>
        <w:t xml:space="preserve">d) De waarde corrigeren en doorgaan</w:t>
      </w:r>
    </w:p>
    <w:p>
      <w:pPr>
        <w:spacing w:after="80" w:before="160" w:line="276"/>
      </w:pPr>
      <w:r>
        <w:rPr>
          <w:b/>
          <w:bCs/>
          <w:color w:val="1F2937"/>
          <w:sz w:val="21"/>
          <w:szCs w:val="21"/>
        </w:rPr>
        <w:t xml:space="preserve">10. </w:t>
      </w:r>
      <w:r>
        <w:rPr>
          <w:color w:val="1F2937"/>
          <w:sz w:val="21"/>
          <w:szCs w:val="21"/>
        </w:rPr>
        <w:t xml:space="preserve">Wat onderscheidt een ADR van een aantekening bij een beslissing?</w:t>
      </w:r>
    </w:p>
    <w:p>
      <w:pPr>
        <w:spacing w:after="40"/>
        <w:ind w:left="420"/>
      </w:pPr>
      <w:r>
        <w:rPr>
          <w:color w:val="1F2937"/>
          <w:sz w:val="21"/>
          <w:szCs w:val="21"/>
        </w:rPr>
        <w:t xml:space="preserve">a) De datum en de status</w:t>
      </w:r>
    </w:p>
    <w:p>
      <w:pPr>
        <w:spacing w:after="40"/>
        <w:ind w:left="420"/>
      </w:pPr>
      <w:r>
        <w:rPr>
          <w:color w:val="1F2937"/>
          <w:sz w:val="21"/>
          <w:szCs w:val="21"/>
        </w:rPr>
        <w:t xml:space="preserve">b) De afgewogen alternatieven met hun grond van afwijzing</w:t>
      </w:r>
    </w:p>
    <w:p>
      <w:pPr>
        <w:spacing w:after="40"/>
        <w:ind w:left="420"/>
      </w:pPr>
      <w:r>
        <w:rPr>
          <w:color w:val="1F2937"/>
          <w:sz w:val="21"/>
          <w:szCs w:val="21"/>
        </w:rPr>
        <w:t xml:space="preserve">c) De lengte</w:t>
      </w:r>
    </w:p>
    <w:p>
      <w:pPr>
        <w:spacing w:after="40"/>
        <w:ind w:left="420"/>
      </w:pPr>
      <w:r>
        <w:rPr>
          <w:color w:val="1F2937"/>
          <w:sz w:val="21"/>
          <w:szCs w:val="21"/>
        </w:rPr>
        <w:t xml:space="preserve">d) De goedkeuring door een gremium</w:t>
      </w:r>
    </w:p>
    <w:p>
      <w:pPr>
        <w:spacing w:after="80" w:before="160" w:line="276"/>
      </w:pPr>
      <w:r>
        <w:rPr>
          <w:b/>
          <w:bCs/>
          <w:color w:val="1F2937"/>
          <w:sz w:val="21"/>
          <w:szCs w:val="21"/>
        </w:rPr>
        <w:t xml:space="preserve">11. </w:t>
      </w:r>
      <w:r>
        <w:rPr>
          <w:color w:val="1F2937"/>
          <w:sz w:val="21"/>
          <w:szCs w:val="21"/>
        </w:rPr>
        <w:t xml:space="preserve">Welke stelling over DRY is juist?</w:t>
      </w:r>
    </w:p>
    <w:p>
      <w:pPr>
        <w:spacing w:after="40"/>
        <w:ind w:left="420"/>
      </w:pPr>
      <w:r>
        <w:rPr>
          <w:color w:val="1F2937"/>
          <w:sz w:val="21"/>
          <w:szCs w:val="21"/>
        </w:rPr>
        <w:t xml:space="preserve">a) Elke duplicatie moet worden verwijderd</w:t>
      </w:r>
    </w:p>
    <w:p>
      <w:pPr>
        <w:spacing w:after="40"/>
        <w:ind w:left="420"/>
      </w:pPr>
      <w:r>
        <w:rPr>
          <w:color w:val="1F2937"/>
          <w:sz w:val="21"/>
          <w:szCs w:val="21"/>
        </w:rPr>
        <w:t xml:space="preserve">b) DRY betreft dubbele kennis, niet dubbele tekst</w:t>
      </w:r>
    </w:p>
    <w:p>
      <w:pPr>
        <w:spacing w:after="40"/>
        <w:ind w:left="420"/>
      </w:pPr>
      <w:r>
        <w:rPr>
          <w:color w:val="1F2937"/>
          <w:sz w:val="21"/>
          <w:szCs w:val="21"/>
        </w:rPr>
        <w:t xml:space="preserve">c) DRY is achterhaald</w:t>
      </w:r>
    </w:p>
    <w:p>
      <w:pPr>
        <w:spacing w:after="40"/>
        <w:ind w:left="420"/>
      </w:pPr>
      <w:r>
        <w:rPr>
          <w:color w:val="1F2937"/>
          <w:sz w:val="21"/>
          <w:szCs w:val="21"/>
        </w:rPr>
        <w:t xml:space="preserve">d) DRY geldt alleen binnen één component</w:t>
      </w:r>
    </w:p>
    <w:p>
      <w:pPr>
        <w:spacing w:after="80" w:before="160" w:line="276"/>
      </w:pPr>
      <w:r>
        <w:rPr>
          <w:b/>
          <w:bCs/>
          <w:color w:val="1F2937"/>
          <w:sz w:val="21"/>
          <w:szCs w:val="21"/>
        </w:rPr>
        <w:t xml:space="preserve">12. </w:t>
      </w:r>
      <w:r>
        <w:rPr>
          <w:color w:val="1F2937"/>
          <w:sz w:val="21"/>
          <w:szCs w:val="21"/>
        </w:rPr>
        <w:t xml:space="preserve">Op welk C4-niveau wordt zichtbaar of een systeem in één of in elf afzonderlijk uitrolbare eenheden bestaat?</w:t>
      </w:r>
    </w:p>
    <w:p>
      <w:pPr>
        <w:spacing w:after="40"/>
        <w:ind w:left="420"/>
      </w:pPr>
      <w:r>
        <w:rPr>
          <w:color w:val="1F2937"/>
          <w:sz w:val="21"/>
          <w:szCs w:val="21"/>
        </w:rPr>
        <w:t xml:space="preserve">a) Context</w:t>
      </w:r>
    </w:p>
    <w:p>
      <w:pPr>
        <w:spacing w:after="40"/>
        <w:ind w:left="420"/>
      </w:pPr>
      <w:r>
        <w:rPr>
          <w:color w:val="1F2937"/>
          <w:sz w:val="21"/>
          <w:szCs w:val="21"/>
        </w:rPr>
        <w:t xml:space="preserve">b) Container</w:t>
      </w:r>
    </w:p>
    <w:p>
      <w:pPr>
        <w:spacing w:after="40"/>
        <w:ind w:left="420"/>
      </w:pPr>
      <w:r>
        <w:rPr>
          <w:color w:val="1F2937"/>
          <w:sz w:val="21"/>
          <w:szCs w:val="21"/>
        </w:rPr>
        <w:t xml:space="preserve">c) Component</w:t>
      </w:r>
    </w:p>
    <w:p>
      <w:pPr>
        <w:spacing w:after="40"/>
        <w:ind w:left="420"/>
      </w:pPr>
      <w:r>
        <w:rPr>
          <w:color w:val="1F2937"/>
          <w:sz w:val="21"/>
          <w:szCs w:val="21"/>
        </w:rPr>
        <w:t xml:space="preserve">d) Code</w:t>
      </w:r>
    </w:p>
    <w:p>
      <w:pPr>
        <w:spacing w:after="80" w:before="160" w:line="276"/>
      </w:pPr>
      <w:r>
        <w:rPr>
          <w:b/>
          <w:bCs/>
          <w:color w:val="1F2937"/>
          <w:sz w:val="21"/>
          <w:szCs w:val="21"/>
        </w:rPr>
        <w:t xml:space="preserve">13. </w:t>
      </w:r>
      <w:r>
        <w:rPr>
          <w:color w:val="1F2937"/>
          <w:sz w:val="21"/>
          <w:szCs w:val="21"/>
        </w:rPr>
        <w:t xml:space="preserve">Wat is de belangrijkste reden om de systeemklok niet rechtstreeks te lezen in de domeinlogica?</w:t>
      </w:r>
    </w:p>
    <w:p>
      <w:pPr>
        <w:spacing w:after="40"/>
        <w:ind w:left="420"/>
      </w:pPr>
      <w:r>
        <w:rPr>
          <w:color w:val="1F2937"/>
          <w:sz w:val="21"/>
          <w:szCs w:val="21"/>
        </w:rPr>
        <w:t xml:space="preserve">a) Prestatie</w:t>
      </w:r>
    </w:p>
    <w:p>
      <w:pPr>
        <w:spacing w:after="40"/>
        <w:ind w:left="420"/>
      </w:pPr>
      <w:r>
        <w:rPr>
          <w:color w:val="1F2937"/>
          <w:sz w:val="21"/>
          <w:szCs w:val="21"/>
        </w:rPr>
        <w:t xml:space="preserve">b) Testbaarheid van datum- en peildatumafhankelijk gedrag</w:t>
      </w:r>
    </w:p>
    <w:p>
      <w:pPr>
        <w:spacing w:after="40"/>
        <w:ind w:left="420"/>
      </w:pPr>
      <w:r>
        <w:rPr>
          <w:color w:val="1F2937"/>
          <w:sz w:val="21"/>
          <w:szCs w:val="21"/>
        </w:rPr>
        <w:t xml:space="preserve">c) Tijdzoneconversie</w:t>
      </w:r>
    </w:p>
    <w:p>
      <w:pPr>
        <w:spacing w:after="40"/>
        <w:ind w:left="420"/>
      </w:pPr>
      <w:r>
        <w:rPr>
          <w:color w:val="1F2937"/>
          <w:sz w:val="21"/>
          <w:szCs w:val="21"/>
        </w:rPr>
        <w:t xml:space="preserve">d) Beveiliging</w:t>
      </w:r>
    </w:p>
    <w:p>
      <w:pPr>
        <w:spacing w:after="80" w:before="160" w:line="276"/>
      </w:pPr>
      <w:r>
        <w:rPr>
          <w:b/>
          <w:bCs/>
          <w:color w:val="1F2937"/>
          <w:sz w:val="21"/>
          <w:szCs w:val="21"/>
        </w:rPr>
        <w:t xml:space="preserve">14. </w:t>
      </w:r>
      <w:r>
        <w:rPr>
          <w:color w:val="1F2937"/>
          <w:sz w:val="21"/>
          <w:szCs w:val="21"/>
        </w:rPr>
        <w:t xml:space="preserve">Welke drie zijn tactieken om de vraag te beperken bij een prestatieprobleem? (drie antwoorden)</w:t>
      </w:r>
    </w:p>
    <w:p>
      <w:pPr>
        <w:spacing w:after="40"/>
        <w:ind w:left="420"/>
      </w:pPr>
      <w:r>
        <w:rPr>
          <w:color w:val="1F2937"/>
          <w:sz w:val="21"/>
          <w:szCs w:val="21"/>
        </w:rPr>
        <w:t xml:space="preserve">a) Werk buiten het kritieke pad verplaatsen</w:t>
      </w:r>
    </w:p>
    <w:p>
      <w:pPr>
        <w:spacing w:after="40"/>
        <w:ind w:left="420"/>
      </w:pPr>
      <w:r>
        <w:rPr>
          <w:color w:val="1F2937"/>
          <w:sz w:val="21"/>
          <w:szCs w:val="21"/>
        </w:rPr>
        <w:t xml:space="preserve">b) Meer capaciteit toevoegen</w:t>
      </w:r>
    </w:p>
    <w:p>
      <w:pPr>
        <w:spacing w:after="40"/>
        <w:ind w:left="420"/>
      </w:pPr>
      <w:r>
        <w:rPr>
          <w:color w:val="1F2937"/>
          <w:sz w:val="21"/>
          <w:szCs w:val="21"/>
        </w:rPr>
        <w:t xml:space="preserve">c) De aanroepfrequentie verlagen</w:t>
      </w:r>
    </w:p>
    <w:p>
      <w:pPr>
        <w:spacing w:after="40"/>
        <w:ind w:left="420"/>
      </w:pPr>
      <w:r>
        <w:rPr>
          <w:color w:val="1F2937"/>
          <w:sz w:val="21"/>
          <w:szCs w:val="21"/>
        </w:rPr>
        <w:t xml:space="preserve">d) Toegang begrenzen</w:t>
      </w:r>
    </w:p>
    <w:p>
      <w:pPr>
        <w:spacing w:after="80" w:before="160" w:line="276"/>
      </w:pPr>
      <w:r>
        <w:rPr>
          <w:b/>
          <w:bCs/>
          <w:color w:val="1F2937"/>
          <w:sz w:val="21"/>
          <w:szCs w:val="21"/>
        </w:rPr>
        <w:t xml:space="preserve">15. </w:t>
      </w:r>
      <w:r>
        <w:rPr>
          <w:color w:val="1F2937"/>
          <w:sz w:val="21"/>
          <w:szCs w:val="21"/>
        </w:rPr>
        <w:t xml:space="preserve">Een niet-risico in een architectuurevaluatie is:</w:t>
      </w:r>
    </w:p>
    <w:p>
      <w:pPr>
        <w:spacing w:after="40"/>
        <w:ind w:left="420"/>
      </w:pPr>
      <w:r>
        <w:rPr>
          <w:color w:val="1F2937"/>
          <w:sz w:val="21"/>
          <w:szCs w:val="21"/>
        </w:rPr>
        <w:t xml:space="preserve">a) Een bevinding waaraan niets hoeft te gebeuren</w:t>
      </w:r>
    </w:p>
    <w:p>
      <w:pPr>
        <w:spacing w:after="40"/>
        <w:ind w:left="420"/>
      </w:pPr>
      <w:r>
        <w:rPr>
          <w:color w:val="1F2937"/>
          <w:sz w:val="21"/>
          <w:szCs w:val="21"/>
        </w:rPr>
        <w:t xml:space="preserve">b) Een goede beslissing gegeven de aannames, waarvan de aannames bewaakt moeten worden</w:t>
      </w:r>
    </w:p>
    <w:p>
      <w:pPr>
        <w:spacing w:after="40"/>
        <w:ind w:left="420"/>
      </w:pPr>
      <w:r>
        <w:rPr>
          <w:color w:val="1F2937"/>
          <w:sz w:val="21"/>
          <w:szCs w:val="21"/>
        </w:rPr>
        <w:t xml:space="preserve">c) Een risico met lage kans</w:t>
      </w:r>
    </w:p>
    <w:p>
      <w:pPr>
        <w:spacing w:after="40"/>
        <w:ind w:left="420"/>
      </w:pPr>
      <w:r>
        <w:rPr>
          <w:color w:val="1F2937"/>
          <w:sz w:val="21"/>
          <w:szCs w:val="21"/>
        </w:rPr>
        <w:t xml:space="preserve">d) Een trade-off die is opgelost</w:t>
      </w:r>
    </w:p>
    <w:p>
      <w:pPr>
        <w:spacing w:after="80" w:before="160" w:line="276"/>
      </w:pPr>
      <w:r>
        <w:rPr>
          <w:b/>
          <w:bCs/>
          <w:color w:val="1F2937"/>
          <w:sz w:val="21"/>
          <w:szCs w:val="21"/>
        </w:rPr>
        <w:t xml:space="preserve">16. </w:t>
      </w:r>
      <w:r>
        <w:rPr>
          <w:color w:val="1F2937"/>
          <w:sz w:val="21"/>
          <w:szCs w:val="21"/>
        </w:rPr>
        <w:t xml:space="preserve">Wanneer is een beslissing architectuursignificant volgens het criterium uit deze cursus?</w:t>
      </w:r>
    </w:p>
    <w:p>
      <w:pPr>
        <w:spacing w:after="40"/>
        <w:ind w:left="420"/>
      </w:pPr>
      <w:r>
        <w:rPr>
          <w:color w:val="1F2937"/>
          <w:sz w:val="21"/>
          <w:szCs w:val="21"/>
        </w:rPr>
        <w:t xml:space="preserve">a) Wanneer de architect haar neemt</w:t>
      </w:r>
    </w:p>
    <w:p>
      <w:pPr>
        <w:spacing w:after="40"/>
        <w:ind w:left="420"/>
      </w:pPr>
      <w:r>
        <w:rPr>
          <w:color w:val="1F2937"/>
          <w:sz w:val="21"/>
          <w:szCs w:val="21"/>
        </w:rPr>
        <w:t xml:space="preserve">b) Wanneer zij in de architectuurdocumentatie staat</w:t>
      </w:r>
    </w:p>
    <w:p>
      <w:pPr>
        <w:spacing w:after="40"/>
        <w:ind w:left="420"/>
      </w:pPr>
      <w:r>
        <w:rPr>
          <w:color w:val="1F2937"/>
          <w:sz w:val="21"/>
          <w:szCs w:val="21"/>
        </w:rPr>
        <w:t xml:space="preserve">c) Wanneer minstens twee van vier vragen met ja worden beantwoord: meerdere componenten, duur terug te draaien, raakt een kwaliteitseis, bindt anderen</w:t>
      </w:r>
    </w:p>
    <w:p>
      <w:pPr>
        <w:spacing w:after="40"/>
        <w:ind w:left="420"/>
      </w:pPr>
      <w:r>
        <w:rPr>
          <w:color w:val="1F2937"/>
          <w:sz w:val="21"/>
          <w:szCs w:val="21"/>
        </w:rPr>
        <w:t xml:space="preserve">d) Wanneer zij technologie betreft</w:t>
      </w:r>
    </w:p>
    <w:p>
      <w:pPr>
        <w:spacing w:after="80" w:before="160" w:line="276"/>
      </w:pPr>
      <w:r>
        <w:rPr>
          <w:b/>
          <w:bCs/>
          <w:color w:val="1F2937"/>
          <w:sz w:val="21"/>
          <w:szCs w:val="21"/>
        </w:rPr>
        <w:t xml:space="preserve">17. </w:t>
      </w:r>
      <w:r>
        <w:rPr>
          <w:color w:val="1F2937"/>
          <w:sz w:val="21"/>
          <w:szCs w:val="21"/>
        </w:rPr>
        <w:t xml:space="preserve">Wat is de sterkste borging van een cross-cutting concept?</w:t>
      </w:r>
    </w:p>
    <w:p>
      <w:pPr>
        <w:spacing w:after="40"/>
        <w:ind w:left="420"/>
      </w:pPr>
      <w:r>
        <w:rPr>
          <w:color w:val="1F2937"/>
          <w:sz w:val="21"/>
          <w:szCs w:val="21"/>
        </w:rPr>
        <w:t xml:space="preserve">a) Het concept vastleggen in de architectuurdocumentatie</w:t>
      </w:r>
    </w:p>
    <w:p>
      <w:pPr>
        <w:spacing w:after="40"/>
        <w:ind w:left="420"/>
      </w:pPr>
      <w:r>
        <w:rPr>
          <w:color w:val="1F2937"/>
          <w:sz w:val="21"/>
          <w:szCs w:val="21"/>
        </w:rPr>
        <w:t xml:space="preserve">b) Het concept bespreken in code reviews</w:t>
      </w:r>
    </w:p>
    <w:p>
      <w:pPr>
        <w:spacing w:after="40"/>
        <w:ind w:left="420"/>
      </w:pPr>
      <w:r>
        <w:rPr>
          <w:color w:val="1F2937"/>
          <w:sz w:val="21"/>
          <w:szCs w:val="21"/>
        </w:rPr>
        <w:t xml:space="preserve">c) Het concept onvermijdelijk maken via de gedeelde infrastructuur</w:t>
      </w:r>
    </w:p>
    <w:p>
      <w:pPr>
        <w:spacing w:after="40"/>
        <w:ind w:left="420"/>
      </w:pPr>
      <w:r>
        <w:rPr>
          <w:color w:val="1F2937"/>
          <w:sz w:val="21"/>
          <w:szCs w:val="21"/>
        </w:rPr>
        <w:t xml:space="preserve">d) Eén module die het goede voorbeeld geeft</w:t>
      </w:r>
    </w:p>
    <w:p>
      <w:pPr>
        <w:spacing w:after="80" w:before="160" w:line="276"/>
      </w:pPr>
      <w:r>
        <w:rPr>
          <w:b/>
          <w:bCs/>
          <w:color w:val="1F2937"/>
          <w:sz w:val="21"/>
          <w:szCs w:val="21"/>
        </w:rPr>
        <w:t xml:space="preserve">18. </w:t>
      </w:r>
      <w:r>
        <w:rPr>
          <w:color w:val="1F2937"/>
          <w:sz w:val="21"/>
          <w:szCs w:val="21"/>
        </w:rPr>
        <w:t xml:space="preserve">Welke uitspraak over architectuurstijlen is juist?</w:t>
      </w:r>
    </w:p>
    <w:p>
      <w:pPr>
        <w:spacing w:after="40"/>
        <w:ind w:left="420"/>
      </w:pPr>
      <w:r>
        <w:rPr>
          <w:color w:val="1F2937"/>
          <w:sz w:val="21"/>
          <w:szCs w:val="21"/>
        </w:rPr>
        <w:t xml:space="preserve">a) Een stijl lost het probleem van het systeem op</w:t>
      </w:r>
    </w:p>
    <w:p>
      <w:pPr>
        <w:spacing w:after="40"/>
        <w:ind w:left="420"/>
      </w:pPr>
      <w:r>
        <w:rPr>
          <w:color w:val="1F2937"/>
          <w:sz w:val="21"/>
          <w:szCs w:val="21"/>
        </w:rPr>
        <w:t xml:space="preserve">b) Een stijl bepaalt hoeveel uitrolbare eenheden er zijn</w:t>
      </w:r>
    </w:p>
    <w:p>
      <w:pPr>
        <w:spacing w:after="40"/>
        <w:ind w:left="420"/>
      </w:pPr>
      <w:r>
        <w:rPr>
          <w:color w:val="1F2937"/>
          <w:sz w:val="21"/>
          <w:szCs w:val="21"/>
        </w:rPr>
        <w:t xml:space="preserve">c) Een stijl geeft een beproefde verantwoordelijkheidsverdeling en een bekend gedragsprofiel</w:t>
      </w:r>
    </w:p>
    <w:p>
      <w:pPr>
        <w:spacing w:after="40"/>
        <w:ind w:left="420"/>
      </w:pPr>
      <w:r>
        <w:rPr>
          <w:color w:val="1F2937"/>
          <w:sz w:val="21"/>
          <w:szCs w:val="21"/>
        </w:rPr>
        <w:t xml:space="preserve">d) Er kan maar één stijl per systeem gebruikt worden</w:t>
      </w:r>
    </w:p>
    <w:p>
      <w:pPr>
        <w:spacing w:after="80" w:before="160" w:line="276"/>
      </w:pPr>
      <w:r>
        <w:rPr>
          <w:b/>
          <w:bCs/>
          <w:color w:val="1F2937"/>
          <w:sz w:val="21"/>
          <w:szCs w:val="21"/>
        </w:rPr>
        <w:t xml:space="preserve">19. </w:t>
      </w:r>
      <w:r>
        <w:rPr>
          <w:color w:val="1F2937"/>
          <w:sz w:val="21"/>
          <w:szCs w:val="21"/>
        </w:rPr>
        <w:t xml:space="preserve">Wat kenmerkt een gerealiseerd risico ten opzichte van een ontwerpfout?</w:t>
      </w:r>
    </w:p>
    <w:p>
      <w:pPr>
        <w:spacing w:after="40"/>
        <w:ind w:left="420"/>
      </w:pPr>
      <w:r>
        <w:rPr>
          <w:color w:val="1F2937"/>
          <w:sz w:val="21"/>
          <w:szCs w:val="21"/>
        </w:rPr>
        <w:t xml:space="preserve">a) De schade is groter</w:t>
      </w:r>
    </w:p>
    <w:p>
      <w:pPr>
        <w:spacing w:after="40"/>
        <w:ind w:left="420"/>
      </w:pPr>
      <w:r>
        <w:rPr>
          <w:color w:val="1F2937"/>
          <w:sz w:val="21"/>
          <w:szCs w:val="21"/>
        </w:rPr>
        <w:t xml:space="preserve">b) De beslissing was verdedigbaar met de op dat moment beschikbare informatie</w:t>
      </w:r>
    </w:p>
    <w:p>
      <w:pPr>
        <w:spacing w:after="40"/>
        <w:ind w:left="420"/>
      </w:pPr>
      <w:r>
        <w:rPr>
          <w:color w:val="1F2937"/>
          <w:sz w:val="21"/>
          <w:szCs w:val="21"/>
        </w:rPr>
        <w:t xml:space="preserve">c) Er was geen documentatie</w:t>
      </w:r>
    </w:p>
    <w:p>
      <w:pPr>
        <w:spacing w:after="40"/>
        <w:ind w:left="420"/>
      </w:pPr>
      <w:r>
        <w:rPr>
          <w:color w:val="1F2937"/>
          <w:sz w:val="21"/>
          <w:szCs w:val="21"/>
        </w:rPr>
        <w:t xml:space="preserve">d) Het risico stond niet in het register</w:t>
      </w:r>
    </w:p>
    <w:p>
      <w:pPr>
        <w:spacing w:after="80" w:before="160" w:line="276"/>
      </w:pPr>
      <w:r>
        <w:rPr>
          <w:b/>
          <w:bCs/>
          <w:color w:val="1F2937"/>
          <w:sz w:val="21"/>
          <w:szCs w:val="21"/>
        </w:rPr>
        <w:t xml:space="preserve">20. </w:t>
      </w:r>
      <w:r>
        <w:rPr>
          <w:color w:val="1F2937"/>
          <w:sz w:val="21"/>
          <w:szCs w:val="21"/>
        </w:rPr>
        <w:t xml:space="preserve">Welke twee zijn kenmerken van een gedistribueerde modderbal? (twee antwoorden)</w:t>
      </w:r>
    </w:p>
    <w:p>
      <w:pPr>
        <w:spacing w:after="40"/>
        <w:ind w:left="420"/>
      </w:pPr>
      <w:r>
        <w:rPr>
          <w:color w:val="1F2937"/>
          <w:sz w:val="21"/>
          <w:szCs w:val="21"/>
        </w:rPr>
        <w:t xml:space="preserve">a) Meerdere uitrolbare eenheden</w:t>
      </w:r>
    </w:p>
    <w:p>
      <w:pPr>
        <w:spacing w:after="40"/>
        <w:ind w:left="420"/>
      </w:pPr>
      <w:r>
        <w:rPr>
          <w:color w:val="1F2937"/>
          <w:sz w:val="21"/>
          <w:szCs w:val="21"/>
        </w:rPr>
        <w:t xml:space="preserve">b) Onopgeloste interne verwevenheid</w:t>
      </w:r>
    </w:p>
    <w:p>
      <w:pPr>
        <w:spacing w:after="40"/>
        <w:ind w:left="420"/>
      </w:pPr>
      <w:r>
        <w:rPr>
          <w:color w:val="1F2937"/>
          <w:sz w:val="21"/>
          <w:szCs w:val="21"/>
        </w:rPr>
        <w:t xml:space="preserve">c) Onafhankelijk schaalbare componenten</w:t>
      </w:r>
    </w:p>
    <w:p>
      <w:pPr>
        <w:spacing w:after="40"/>
        <w:ind w:left="420"/>
      </w:pPr>
      <w:r>
        <w:rPr>
          <w:color w:val="1F2937"/>
          <w:sz w:val="21"/>
          <w:szCs w:val="21"/>
        </w:rPr>
        <w:t xml:space="preserve">d) Duidelijke koppelvlakcontracten</w:t>
      </w:r>
    </w:p>
    <w:p>
      <w:pPr>
        <w:spacing w:after="3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10.1 — Antwoorden</w:t>
            </w:r>
          </w:p>
          <w:p>
            <w:pPr>
              <w:spacing w:after="80"/>
            </w:pPr>
          </w:p>
          <w:tbl>
            <w:tblPr>
              <w:tblW w:type="dxa" w:w="89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500"/>
              <w:gridCol w:w="1400"/>
              <w:gridCol w:w="7038"/>
            </w:tblGrid>
            <w:tr>
              <w:trPr>
                <w:tblHeader/>
              </w:trPr>
              <w:tc>
                <w:tcPr>
                  <w:tcW w:type="dxa" w:w="500"/>
                  <w:shd w:fill="1F3A5F" w:val="clear"/>
                  <w:tcMar>
                    <w:top w:type="dxa" w:w="100"/>
                    <w:left w:type="dxa" w:w="120"/>
                    <w:bottom w:type="dxa" w:w="100"/>
                    <w:right w:type="dxa" w:w="120"/>
                  </w:tcMar>
                  <w:vAlign w:val="center"/>
                </w:tcPr>
                <w:p>
                  <w:r>
                    <w:rPr>
                      <w:b/>
                      <w:bCs/>
                      <w:color w:val="FFFFFF"/>
                      <w:sz w:val="19"/>
                      <w:szCs w:val="19"/>
                    </w:rPr>
                    <w:t xml:space="preserve">#</w:t>
                  </w:r>
                </w:p>
              </w:tc>
              <w:tc>
                <w:tcPr>
                  <w:tcW w:type="dxa" w:w="1400"/>
                  <w:shd w:fill="1F3A5F" w:val="clear"/>
                  <w:tcMar>
                    <w:top w:type="dxa" w:w="100"/>
                    <w:left w:type="dxa" w:w="120"/>
                    <w:bottom w:type="dxa" w:w="100"/>
                    <w:right w:type="dxa" w:w="120"/>
                  </w:tcMar>
                  <w:vAlign w:val="center"/>
                </w:tcPr>
                <w:p>
                  <w:r>
                    <w:rPr>
                      <w:b/>
                      <w:bCs/>
                      <w:color w:val="FFFFFF"/>
                      <w:sz w:val="19"/>
                      <w:szCs w:val="19"/>
                    </w:rPr>
                    <w:t xml:space="preserve">Antwoord</w:t>
                  </w:r>
                </w:p>
              </w:tc>
              <w:tc>
                <w:tcPr>
                  <w:tcW w:type="dxa" w:w="7038"/>
                  <w:shd w:fill="1F3A5F" w:val="clear"/>
                  <w:tcMar>
                    <w:top w:type="dxa" w:w="100"/>
                    <w:left w:type="dxa" w:w="120"/>
                    <w:bottom w:type="dxa" w:w="100"/>
                    <w:right w:type="dxa" w:w="120"/>
                  </w:tcMar>
                  <w:vAlign w:val="center"/>
                </w:tcPr>
                <w:p>
                  <w:r>
                    <w:rPr>
                      <w:b/>
                      <w:bCs/>
                      <w:color w:val="FFFFFF"/>
                      <w:sz w:val="19"/>
                      <w:szCs w:val="19"/>
                    </w:rPr>
                    <w:t xml:space="preserve">Toelichting</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De kosten van distributie worden gedragen zonder dat één van de vier drijvers aanwezig is. a verwart modulariteit met distributie; d is een karikatuur</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w:t>
                  </w:r>
                </w:p>
              </w:tc>
              <w:tc>
                <w:tcPr>
                  <w:tcW w:type="dxa" w:w="1400"/>
                  <w:tcMar>
                    <w:top w:type="dxa" w:w="100"/>
                    <w:left w:type="dxa" w:w="120"/>
                    <w:bottom w:type="dxa" w:w="100"/>
                    <w:right w:type="dxa" w:w="120"/>
                  </w:tcMar>
                  <w:vAlign w:val="center"/>
                </w:tcPr>
                <w:p>
                  <w:r>
                    <w:rPr>
                      <w:b w:val="false"/>
                      <w:bCs w:val="false"/>
                      <w:color w:val="1F2937"/>
                      <w:sz w:val="19"/>
                      <w:szCs w:val="19"/>
                    </w:rPr>
                    <w:t xml:space="preserve">d</w:t>
                  </w:r>
                </w:p>
              </w:tc>
              <w:tc>
                <w:tcPr>
                  <w:tcW w:type="dxa" w:w="7038"/>
                  <w:tcMar>
                    <w:top w:type="dxa" w:w="100"/>
                    <w:left w:type="dxa" w:w="120"/>
                    <w:bottom w:type="dxa" w:w="100"/>
                    <w:right w:type="dxa" w:w="120"/>
                  </w:tcMar>
                  <w:vAlign w:val="center"/>
                </w:tcPr>
                <w:p>
                  <w:r>
                    <w:rPr>
                      <w:b w:val="false"/>
                      <w:bCs w:val="false"/>
                      <w:color w:val="1F2937"/>
                      <w:sz w:val="19"/>
                      <w:szCs w:val="19"/>
                    </w:rPr>
                    <w:t xml:space="preserve">Een scenario dat voor elk systeem geldt, is niet discriminerend en stuurt dus niets</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3</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Hoge afferente koppeling maakt star: elke wijziging raakt zeven gebruikers. c verwart de richtingen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4</w:t>
                  </w:r>
                </w:p>
              </w:tc>
              <w:tc>
                <w:tcPr>
                  <w:tcW w:type="dxa" w:w="1400"/>
                  <w:tcMar>
                    <w:top w:type="dxa" w:w="100"/>
                    <w:left w:type="dxa" w:w="120"/>
                    <w:bottom w:type="dxa" w:w="100"/>
                    <w:right w:type="dxa" w:w="120"/>
                  </w:tcMar>
                  <w:vAlign w:val="center"/>
                </w:tcPr>
                <w:p>
                  <w:r>
                    <w:rPr>
                      <w:b w:val="false"/>
                      <w:bCs w:val="false"/>
                      <w:color w:val="1F2937"/>
                      <w:sz w:val="19"/>
                      <w:szCs w:val="19"/>
                    </w:rPr>
                    <w:t xml:space="preserve">a, c</w:t>
                  </w:r>
                </w:p>
              </w:tc>
              <w:tc>
                <w:tcPr>
                  <w:tcW w:type="dxa" w:w="7038"/>
                  <w:tcMar>
                    <w:top w:type="dxa" w:w="100"/>
                    <w:left w:type="dxa" w:w="120"/>
                    <w:bottom w:type="dxa" w:w="100"/>
                    <w:right w:type="dxa" w:w="120"/>
                  </w:tcMar>
                  <w:vAlign w:val="center"/>
                </w:tcPr>
                <w:p>
                  <w:r>
                    <w:rPr>
                      <w:b w:val="false"/>
                      <w:bCs w:val="false"/>
                      <w:color w:val="1F2937"/>
                      <w:sz w:val="19"/>
                      <w:szCs w:val="19"/>
                    </w:rPr>
                    <w:t xml:space="preserve">Logische cohesie groepeert op gelijkenis en voelt daarom intuïtief juist — dat is precies waarom zij zo hardnekkig is. b en d beschrijven functionele cohesie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5</w:t>
                  </w:r>
                </w:p>
              </w:tc>
              <w:tc>
                <w:tcPr>
                  <w:tcW w:type="dxa" w:w="1400"/>
                  <w:tcMar>
                    <w:top w:type="dxa" w:w="100"/>
                    <w:left w:type="dxa" w:w="120"/>
                    <w:bottom w:type="dxa" w:w="100"/>
                    <w:right w:type="dxa" w:w="120"/>
                  </w:tcMar>
                  <w:vAlign w:val="center"/>
                </w:tcPr>
                <w:p>
                  <w:r>
                    <w:rPr>
                      <w:b w:val="false"/>
                      <w:bCs w:val="false"/>
                      <w:color w:val="1F2937"/>
                      <w:sz w:val="19"/>
                      <w:szCs w:val="19"/>
                    </w:rPr>
                    <w:t xml:space="preserve">c</w:t>
                  </w:r>
                </w:p>
              </w:tc>
              <w:tc>
                <w:tcPr>
                  <w:tcW w:type="dxa" w:w="7038"/>
                  <w:tcMar>
                    <w:top w:type="dxa" w:w="100"/>
                    <w:left w:type="dxa" w:w="120"/>
                    <w:bottom w:type="dxa" w:w="100"/>
                    <w:right w:type="dxa" w:w="120"/>
                  </w:tcMar>
                  <w:vAlign w:val="center"/>
                </w:tcPr>
                <w:p>
                  <w:r>
                    <w:rPr>
                      <w:b w:val="false"/>
                      <w:bCs w:val="false"/>
                      <w:color w:val="1F2937"/>
                      <w:sz w:val="19"/>
                      <w:szCs w:val="19"/>
                    </w:rPr>
                    <w:t xml:space="preserve">De formulering van Parnas. a en b zijn encapsulatie op klasseniveau, niet het architectuurprincipe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6</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Alle afhankelijkheden wijzen naar binnen; het domein hangt van niets af</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7</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a is een trade-offpunt, c een risico, d een niet-risico</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8</w:t>
                  </w:r>
                </w:p>
              </w:tc>
              <w:tc>
                <w:tcPr>
                  <w:tcW w:type="dxa" w:w="1400"/>
                  <w:tcMar>
                    <w:top w:type="dxa" w:w="100"/>
                    <w:left w:type="dxa" w:w="120"/>
                    <w:bottom w:type="dxa" w:w="100"/>
                    <w:right w:type="dxa" w:w="120"/>
                  </w:tcMar>
                  <w:vAlign w:val="center"/>
                </w:tcPr>
                <w:p>
                  <w:r>
                    <w:rPr>
                      <w:b w:val="false"/>
                      <w:bCs w:val="false"/>
                      <w:color w:val="1F2937"/>
                      <w:sz w:val="19"/>
                      <w:szCs w:val="19"/>
                    </w:rPr>
                    <w:t xml:space="preserve">b, d</w:t>
                  </w:r>
                </w:p>
              </w:tc>
              <w:tc>
                <w:tcPr>
                  <w:tcW w:type="dxa" w:w="7038"/>
                  <w:tcMar>
                    <w:top w:type="dxa" w:w="100"/>
                    <w:left w:type="dxa" w:w="120"/>
                    <w:bottom w:type="dxa" w:w="100"/>
                    <w:right w:type="dxa" w:w="120"/>
                  </w:tcMar>
                  <w:vAlign w:val="center"/>
                </w:tcPr>
                <w:p>
                  <w:r>
                    <w:rPr>
                      <w:b w:val="false"/>
                      <w:bCs w:val="false"/>
                      <w:color w:val="1F2937"/>
                      <w:sz w:val="19"/>
                      <w:szCs w:val="19"/>
                    </w:rPr>
                    <w:t xml:space="preserve">Bij batch is 4.000 ÷ 20 = 200 seconden en dus irrelevant; interactief bij 50 gebruikers en een viervoudige aanroep per scherm is de limiet beslissend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9</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a hoort bij een invoerfout, c verwerpt werk dat behouden kan blijven, d is de gevaarlijkste optie: stilletjes repareren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10</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Zonder alternatieven weet een lezer niet of er is nagedacht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11</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Twee stukken code die er hetzelfde uitzien maar om verschillende redenen veranderen, mogen niet worden samengevoegd</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12</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Op contextniveau zijn de systemen identiek; op containerniveau ziet u elf tegen drie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13</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Peildatumafhankelijk gedrag is anders niet te testen zonder de klok te manipuleren</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14</w:t>
                  </w:r>
                </w:p>
              </w:tc>
              <w:tc>
                <w:tcPr>
                  <w:tcW w:type="dxa" w:w="1400"/>
                  <w:tcMar>
                    <w:top w:type="dxa" w:w="100"/>
                    <w:left w:type="dxa" w:w="120"/>
                    <w:bottom w:type="dxa" w:w="100"/>
                    <w:right w:type="dxa" w:w="120"/>
                  </w:tcMar>
                  <w:vAlign w:val="center"/>
                </w:tcPr>
                <w:p>
                  <w:r>
                    <w:rPr>
                      <w:b w:val="false"/>
                      <w:bCs w:val="false"/>
                      <w:color w:val="1F2937"/>
                      <w:sz w:val="19"/>
                      <w:szCs w:val="19"/>
                    </w:rPr>
                    <w:t xml:space="preserve">a, c, d</w:t>
                  </w:r>
                </w:p>
              </w:tc>
              <w:tc>
                <w:tcPr>
                  <w:tcW w:type="dxa" w:w="7038"/>
                  <w:tcMar>
                    <w:top w:type="dxa" w:w="100"/>
                    <w:left w:type="dxa" w:w="120"/>
                    <w:bottom w:type="dxa" w:w="100"/>
                    <w:right w:type="dxa" w:w="120"/>
                  </w:tcMar>
                  <w:vAlign w:val="center"/>
                </w:tcPr>
                <w:p>
                  <w:r>
                    <w:rPr>
                      <w:b w:val="false"/>
                      <w:bCs w:val="false"/>
                      <w:color w:val="1F2937"/>
                      <w:sz w:val="19"/>
                      <w:szCs w:val="19"/>
                    </w:rPr>
                    <w:t xml:space="preserve">b hoort bij "middelen toevoegen", de derde categorie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15</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Een niet-risico rust op aannames; die moeten vastgelegd en bewaakt worden — anders is het een tijdbom met een goed rapport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16</w:t>
                  </w:r>
                </w:p>
              </w:tc>
              <w:tc>
                <w:tcPr>
                  <w:tcW w:type="dxa" w:w="1400"/>
                  <w:tcMar>
                    <w:top w:type="dxa" w:w="100"/>
                    <w:left w:type="dxa" w:w="120"/>
                    <w:bottom w:type="dxa" w:w="100"/>
                    <w:right w:type="dxa" w:w="120"/>
                  </w:tcMar>
                  <w:vAlign w:val="center"/>
                </w:tcPr>
                <w:p>
                  <w:r>
                    <w:rPr>
                      <w:b w:val="false"/>
                      <w:bCs w:val="false"/>
                      <w:color w:val="1F2937"/>
                      <w:sz w:val="19"/>
                      <w:szCs w:val="19"/>
                    </w:rPr>
                    <w:t xml:space="preserve">c</w:t>
                  </w:r>
                </w:p>
              </w:tc>
              <w:tc>
                <w:tcPr>
                  <w:tcW w:type="dxa" w:w="7038"/>
                  <w:tcMar>
                    <w:top w:type="dxa" w:w="100"/>
                    <w:left w:type="dxa" w:w="120"/>
                    <w:bottom w:type="dxa" w:w="100"/>
                    <w:right w:type="dxa" w:w="120"/>
                  </w:tcMar>
                  <w:vAlign w:val="center"/>
                </w:tcPr>
                <w:p>
                  <w:r>
                    <w:rPr>
                      <w:b w:val="false"/>
                      <w:bCs w:val="false"/>
                      <w:color w:val="1F2937"/>
                      <w:sz w:val="19"/>
                      <w:szCs w:val="19"/>
                    </w:rPr>
                    <w:t xml:space="preserve">Het criterium uit deel 1</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17</w:t>
                  </w:r>
                </w:p>
              </w:tc>
              <w:tc>
                <w:tcPr>
                  <w:tcW w:type="dxa" w:w="1400"/>
                  <w:tcMar>
                    <w:top w:type="dxa" w:w="100"/>
                    <w:left w:type="dxa" w:w="120"/>
                    <w:bottom w:type="dxa" w:w="100"/>
                    <w:right w:type="dxa" w:w="120"/>
                  </w:tcMar>
                  <w:vAlign w:val="center"/>
                </w:tcPr>
                <w:p>
                  <w:r>
                    <w:rPr>
                      <w:b w:val="false"/>
                      <w:bCs w:val="false"/>
                      <w:color w:val="1F2937"/>
                      <w:sz w:val="19"/>
                      <w:szCs w:val="19"/>
                    </w:rPr>
                    <w:t xml:space="preserve">c</w:t>
                  </w:r>
                </w:p>
              </w:tc>
              <w:tc>
                <w:tcPr>
                  <w:tcW w:type="dxa" w:w="7038"/>
                  <w:tcMar>
                    <w:top w:type="dxa" w:w="100"/>
                    <w:left w:type="dxa" w:w="120"/>
                    <w:bottom w:type="dxa" w:w="100"/>
                    <w:right w:type="dxa" w:w="120"/>
                  </w:tcMar>
                  <w:vAlign w:val="center"/>
                </w:tcPr>
                <w:p>
                  <w:r>
                    <w:rPr>
                      <w:b w:val="false"/>
                      <w:bCs w:val="false"/>
                      <w:color w:val="1F2937"/>
                      <w:sz w:val="19"/>
                      <w:szCs w:val="19"/>
                    </w:rPr>
                    <w:t xml:space="preserve">Onvermijdelijk maken vraagt niemands oplettendheid; a is de zwakste vorm</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18</w:t>
                  </w:r>
                </w:p>
              </w:tc>
              <w:tc>
                <w:tcPr>
                  <w:tcW w:type="dxa" w:w="1400"/>
                  <w:tcMar>
                    <w:top w:type="dxa" w:w="100"/>
                    <w:left w:type="dxa" w:w="120"/>
                    <w:bottom w:type="dxa" w:w="100"/>
                    <w:right w:type="dxa" w:w="120"/>
                  </w:tcMar>
                  <w:vAlign w:val="center"/>
                </w:tcPr>
                <w:p>
                  <w:r>
                    <w:rPr>
                      <w:b w:val="false"/>
                      <w:bCs w:val="false"/>
                      <w:color w:val="1F2937"/>
                      <w:sz w:val="19"/>
                      <w:szCs w:val="19"/>
                    </w:rPr>
                    <w:t xml:space="preserve">c</w:t>
                  </w:r>
                </w:p>
              </w:tc>
              <w:tc>
                <w:tcPr>
                  <w:tcW w:type="dxa" w:w="7038"/>
                  <w:tcMar>
                    <w:top w:type="dxa" w:w="100"/>
                    <w:left w:type="dxa" w:w="120"/>
                    <w:bottom w:type="dxa" w:w="100"/>
                    <w:right w:type="dxa" w:w="120"/>
                  </w:tcMar>
                  <w:vAlign w:val="center"/>
                </w:tcPr>
                <w:p>
                  <w:r>
                    <w:rPr>
                      <w:b w:val="false"/>
                      <w:bCs w:val="false"/>
                      <w:color w:val="1F2937"/>
                      <w:sz w:val="19"/>
                      <w:szCs w:val="19"/>
                    </w:rPr>
                    <w:t xml:space="preserve">a is de kernfout van B4; b verwart structuur met distributie; d is onjuist — stijlen combineren mag, mits genest</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19</w:t>
                  </w:r>
                </w:p>
              </w:tc>
              <w:tc>
                <w:tcPr>
                  <w:tcW w:type="dxa" w:w="1400"/>
                  <w:tcMar>
                    <w:top w:type="dxa" w:w="100"/>
                    <w:left w:type="dxa" w:w="120"/>
                    <w:bottom w:type="dxa" w:w="100"/>
                    <w:right w:type="dxa" w:w="120"/>
                  </w:tcMar>
                  <w:vAlign w:val="center"/>
                </w:tcPr>
                <w:p>
                  <w:r>
                    <w:rPr>
                      <w:b w:val="false"/>
                      <w:bCs w:val="false"/>
                      <w:color w:val="1F2937"/>
                      <w:sz w:val="19"/>
                      <w:szCs w:val="19"/>
                    </w:rPr>
                    <w:t xml:space="preserve">b</w:t>
                  </w:r>
                </w:p>
              </w:tc>
              <w:tc>
                <w:tcPr>
                  <w:tcW w:type="dxa" w:w="7038"/>
                  <w:tcMar>
                    <w:top w:type="dxa" w:w="100"/>
                    <w:left w:type="dxa" w:w="120"/>
                    <w:bottom w:type="dxa" w:w="100"/>
                    <w:right w:type="dxa" w:w="120"/>
                  </w:tcMar>
                  <w:vAlign w:val="center"/>
                </w:tcPr>
                <w:p>
                  <w:r>
                    <w:rPr>
                      <w:b w:val="false"/>
                      <w:bCs w:val="false"/>
                      <w:color w:val="1F2937"/>
                      <w:sz w:val="19"/>
                      <w:szCs w:val="19"/>
                    </w:rPr>
                    <w:t xml:space="preserve">Het onderscheid gaat over de informatie die beschikbaar was, niet over de omvang van de schade</w:t>
                  </w:r>
                </w:p>
              </w:tc>
            </w:tr>
            <w:tr>
              <w:trPr>
                <w:cantSplit/>
              </w:trPr>
              <w:tc>
                <w:tcPr>
                  <w:tcW w:type="dxa" w:w="500"/>
                  <w:tcMar>
                    <w:top w:type="dxa" w:w="100"/>
                    <w:left w:type="dxa" w:w="120"/>
                    <w:bottom w:type="dxa" w:w="100"/>
                    <w:right w:type="dxa" w:w="120"/>
                  </w:tcMar>
                  <w:vAlign w:val="center"/>
                </w:tcPr>
                <w:p>
                  <w:r>
                    <w:rPr>
                      <w:b w:val="false"/>
                      <w:bCs w:val="false"/>
                      <w:color w:val="1F2937"/>
                      <w:sz w:val="19"/>
                      <w:szCs w:val="19"/>
                    </w:rPr>
                    <w:t xml:space="preserve">20</w:t>
                  </w:r>
                </w:p>
              </w:tc>
              <w:tc>
                <w:tcPr>
                  <w:tcW w:type="dxa" w:w="1400"/>
                  <w:tcMar>
                    <w:top w:type="dxa" w:w="100"/>
                    <w:left w:type="dxa" w:w="120"/>
                    <w:bottom w:type="dxa" w:w="100"/>
                    <w:right w:type="dxa" w:w="120"/>
                  </w:tcMar>
                  <w:vAlign w:val="center"/>
                </w:tcPr>
                <w:p>
                  <w:r>
                    <w:rPr>
                      <w:b w:val="false"/>
                      <w:bCs w:val="false"/>
                      <w:color w:val="1F2937"/>
                      <w:sz w:val="19"/>
                      <w:szCs w:val="19"/>
                    </w:rPr>
                    <w:t xml:space="preserve">a, b</w:t>
                  </w:r>
                </w:p>
              </w:tc>
              <w:tc>
                <w:tcPr>
                  <w:tcW w:type="dxa" w:w="7038"/>
                  <w:tcMar>
                    <w:top w:type="dxa" w:w="100"/>
                    <w:left w:type="dxa" w:w="120"/>
                    <w:bottom w:type="dxa" w:w="100"/>
                    <w:right w:type="dxa" w:w="120"/>
                  </w:tcMar>
                  <w:vAlign w:val="center"/>
                </w:tcPr>
                <w:p>
                  <w:r>
                    <w:rPr>
                      <w:b w:val="false"/>
                      <w:bCs w:val="false"/>
                      <w:color w:val="1F2937"/>
                      <w:sz w:val="19"/>
                      <w:szCs w:val="19"/>
                    </w:rPr>
                    <w:t xml:space="preserve">c en d beschrijven juist wat een gedistribueerde modderbal niet heeft</w:t>
                  </w:r>
                </w:p>
              </w:tc>
            </w:tr>
          </w:tbl>
          <w:p>
            <w:pPr>
              <w:spacing w:after="100"/>
            </w:pPr>
          </w:p>
          <w:p>
            <w:pPr>
              <w:spacing w:after="120" w:line="276"/>
            </w:pPr>
            <w:r>
              <w:rPr>
                <w:b/>
                <w:bCs/>
                <w:color w:val="1F2937"/>
                <w:sz w:val="21"/>
                <w:szCs w:val="21"/>
              </w:rPr>
              <w:t xml:space="preserve">Kalibratie. </w:t>
            </w:r>
            <w:r>
              <w:rPr>
                <w:color w:val="1F2937"/>
                <w:sz w:val="21"/>
                <w:szCs w:val="21"/>
              </w:rPr>
              <w:t xml:space="preserve">Zestien of meer goed: u bent goed voorbereid. Twaalf tot vijftien: neem het officiële curriculum door op de hoofdstukken van uw fouten. Onder de twaalf: werk de betreffende cursusdelen door voordat u zich aanmeldt.</w:t>
            </w:r>
          </w:p>
          <w:p>
            <w:pPr>
              <w:spacing w:after="120" w:line="276"/>
            </w:pPr>
            <w:r>
              <w:rPr>
                <w:b/>
                <w:bCs/>
                <w:color w:val="1F2937"/>
                <w:sz w:val="21"/>
                <w:szCs w:val="21"/>
              </w:rPr>
              <w:t xml:space="preserve">Let op: </w:t>
            </w:r>
            <w:r>
              <w:rPr>
                <w:color w:val="1F2937"/>
                <w:sz w:val="21"/>
                <w:szCs w:val="21"/>
              </w:rPr>
              <w:t xml:space="preserve">dit oefenexamen is korter dan het echte examen en de vragen zijn geschreven op de inhoud van deze cursus. Een goede score hier voorspelt een goede voorbereiding, geen geslaagd examen. Neem het officiële curriculum door.</w:t>
            </w:r>
          </w:p>
        </w:tc>
      </w:tr>
    </w:tbl>
    <w:p>
      <w:pPr>
        <w:spacing w:after="300"/>
      </w:pPr>
    </w:p>
    <w:p>
      <w:pPr>
        <w:pStyle w:val="Heading1"/>
        <w:pBdr>
          <w:bottom w:val="single" w:color="E5E7EB" w:sz="6" w:space="6"/>
        </w:pBdr>
        <w:spacing w:after="180" w:before="380"/>
      </w:pPr>
      <w:r>
        <w:rPr>
          <w:b/>
          <w:bCs/>
          <w:color w:val="1F3A5F"/>
          <w:sz w:val="30"/>
          <w:szCs w:val="30"/>
        </w:rPr>
        <w:t xml:space="preserve">Opdracht 10.2 — Foutenanalyse (individueel, 15 minuten)</w:t>
      </w:r>
    </w:p>
    <w:p>
      <w:pPr>
        <w:spacing w:after="160" w:line="276"/>
      </w:pPr>
      <w:r>
        <w:rPr>
          <w:color w:val="1F2937"/>
          <w:sz w:val="22"/>
          <w:szCs w:val="22"/>
        </w:rPr>
        <w:t xml:space="preserve">Loop uw fouten uit opdracht 10.1 na en beantwoord per fout:</w:t>
      </w:r>
    </w:p>
    <w:p>
      <w:pPr>
        <w:pStyle w:val="ListParagraph"/>
        <w:numPr>
          <w:ilvl w:val="0"/>
          <w:numId w:val="2"/>
        </w:numPr>
        <w:spacing w:after="100"/>
      </w:pPr>
      <w:r>
        <w:rPr>
          <w:b/>
          <w:bCs/>
          <w:color w:val="1F2937"/>
          <w:sz w:val="22"/>
          <w:szCs w:val="22"/>
        </w:rPr>
        <w:t xml:space="preserve">a)</w:t>
      </w:r>
      <w:r>
        <w:rPr>
          <w:color w:val="1F2937"/>
          <w:sz w:val="22"/>
          <w:szCs w:val="22"/>
        </w:rPr>
        <w:t xml:space="preserve"> Was het een kennisgat, een leesfout, of een verkeerde toepassing van iets wat u wel wist?</w:t>
      </w:r>
    </w:p>
    <w:p>
      <w:pPr>
        <w:pStyle w:val="ListParagraph"/>
        <w:numPr>
          <w:ilvl w:val="0"/>
          <w:numId w:val="2"/>
        </w:numPr>
        <w:spacing w:after="100"/>
      </w:pPr>
      <w:r>
        <w:rPr>
          <w:b/>
          <w:bCs/>
          <w:color w:val="1F2937"/>
          <w:sz w:val="22"/>
          <w:szCs w:val="22"/>
        </w:rPr>
        <w:t xml:space="preserve">b)</w:t>
      </w:r>
      <w:r>
        <w:rPr>
          <w:color w:val="1F2937"/>
          <w:sz w:val="22"/>
          <w:szCs w:val="22"/>
        </w:rPr>
        <w:t xml:space="preserve"> In welk deel van deze cursus stond het onderwerp?</w:t>
      </w:r>
    </w:p>
    <w:p>
      <w:pPr>
        <w:pStyle w:val="ListParagraph"/>
        <w:numPr>
          <w:ilvl w:val="0"/>
          <w:numId w:val="2"/>
        </w:numPr>
        <w:spacing w:after="100"/>
      </w:pPr>
      <w:r>
        <w:rPr>
          <w:b/>
          <w:bCs/>
          <w:color w:val="1F2937"/>
          <w:sz w:val="22"/>
          <w:szCs w:val="22"/>
        </w:rPr>
        <w:t xml:space="preserve">c)</w:t>
      </w:r>
      <w:r>
        <w:rPr>
          <w:color w:val="1F2937"/>
          <w:sz w:val="22"/>
          <w:szCs w:val="22"/>
        </w:rPr>
        <w:t xml:space="preserve"> Welke van de drie soorten komt bij u het vaakst voor?</w:t>
      </w:r>
    </w:p>
    <w:p>
      <w:pPr>
        <w:spacing w:after="160" w:line="276"/>
      </w:pPr>
      <w:r>
        <w:rPr>
          <w:color w:val="1F2937"/>
          <w:sz w:val="22"/>
          <w:szCs w:val="22"/>
        </w:rPr>
        <w:t xml:space="preserve">Als c) "leesfout" is, is uw voorbereiding op orde en moet u aan tempo en zorgvuldigheid werken. Als c) "kennisgat" is, weet u nu welk curriculumhoofdstuk u doorneemt.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10.2</w:t>
            </w:r>
          </w:p>
          <w:p>
            <w:pPr>
              <w:spacing w:after="80"/>
            </w:pPr>
          </w:p>
          <w:p>
            <w:pPr>
              <w:spacing w:after="120" w:line="276"/>
            </w:pPr>
            <w:r>
              <w:rPr>
                <w:color w:val="1F2937"/>
                <w:sz w:val="21"/>
                <w:szCs w:val="21"/>
              </w:rPr>
              <w:t xml:space="preserve">Geen modelantwoord. Ter kalibratie: bij deelnemers die de cursus goed hebben gevolgd, is de meest voorkomende fout een leesfout — meestal bij vraag 4, 8, 14 en 20 (de meervoudige vragen) en bij vraag 3 (waar a en b beide waar klinken).</w:t>
            </w:r>
          </w:p>
          <w:p>
            <w:pPr>
              <w:spacing w:after="120" w:line="276"/>
            </w:pPr>
            <w:r>
              <w:rPr>
                <w:color w:val="1F2937"/>
                <w:sz w:val="21"/>
                <w:szCs w:val="21"/>
              </w:rPr>
              <w:t xml:space="preserve">Vraag 3 is bewust zo gebouwd: hergebruik is een teken van bruikbaarheid, en tegelijk is het een bron van starheid. Wie a kiest, heeft de omkering uit deel 3 niet meegenomen.</w:t>
            </w:r>
          </w:p>
        </w:tc>
      </w:tr>
    </w:tbl>
    <w:p>
      <w:pPr>
        <w:spacing w:after="300"/>
      </w:pPr>
    </w:p>
    <w:p>
      <w:pPr>
        <w:pStyle w:val="Heading1"/>
        <w:pBdr>
          <w:bottom w:val="single" w:color="E5E7EB" w:sz="6" w:space="6"/>
        </w:pBdr>
        <w:spacing w:after="180" w:before="380"/>
      </w:pPr>
      <w:r>
        <w:rPr>
          <w:b/>
          <w:bCs/>
          <w:color w:val="1F3A5F"/>
          <w:sz w:val="30"/>
          <w:szCs w:val="30"/>
        </w:rPr>
        <w:t xml:space="preserve">Opdracht 10.3 — De verdediging voorbereiden (individueel, 25 minuten)</w:t>
      </w:r>
    </w:p>
    <w:p>
      <w:pPr>
        <w:pStyle w:val="ListParagraph"/>
        <w:numPr>
          <w:ilvl w:val="0"/>
          <w:numId w:val="2"/>
        </w:numPr>
        <w:spacing w:after="100"/>
      </w:pPr>
      <w:r>
        <w:rPr>
          <w:b/>
          <w:bCs/>
          <w:color w:val="1F2937"/>
          <w:sz w:val="22"/>
          <w:szCs w:val="22"/>
        </w:rPr>
        <w:t xml:space="preserve">a)</w:t>
      </w:r>
      <w:r>
        <w:rPr>
          <w:color w:val="1F2937"/>
          <w:sz w:val="22"/>
          <w:szCs w:val="22"/>
        </w:rPr>
        <w:t xml:space="preserve"> Breng uw materiaal terug tot vier stukken: C4-niveau 1 en 2, uw oplossingsstrategie, uw bevindingenregister met restrisico's, en uw drie ADR's.</w:t>
      </w:r>
    </w:p>
    <w:p>
      <w:pPr>
        <w:pStyle w:val="ListParagraph"/>
        <w:numPr>
          <w:ilvl w:val="0"/>
          <w:numId w:val="2"/>
        </w:numPr>
        <w:spacing w:after="100"/>
      </w:pPr>
      <w:r>
        <w:rPr>
          <w:b/>
          <w:bCs/>
          <w:color w:val="1F2937"/>
          <w:sz w:val="22"/>
          <w:szCs w:val="22"/>
        </w:rPr>
        <w:t xml:space="preserve">b)</w:t>
      </w:r>
      <w:r>
        <w:rPr>
          <w:color w:val="1F2937"/>
          <w:sz w:val="22"/>
          <w:szCs w:val="22"/>
        </w:rPr>
        <w:t xml:space="preserve"> Schrijf uw presentatie van vijf minuten uit als steekwoorden. Structuur: het probleem, uw kernboodschap, de drie belangrijkste keuzes met hun drijver, en de belangrijkste restrisico's.</w:t>
      </w:r>
    </w:p>
    <w:p>
      <w:pPr>
        <w:pStyle w:val="ListParagraph"/>
        <w:numPr>
          <w:ilvl w:val="0"/>
          <w:numId w:val="2"/>
        </w:numPr>
        <w:spacing w:after="100"/>
      </w:pPr>
      <w:r>
        <w:rPr>
          <w:b/>
          <w:bCs/>
          <w:color w:val="1F2937"/>
          <w:sz w:val="22"/>
          <w:szCs w:val="22"/>
        </w:rPr>
        <w:t xml:space="preserve">c)</w:t>
      </w:r>
      <w:r>
        <w:rPr>
          <w:color w:val="1F2937"/>
          <w:sz w:val="22"/>
          <w:szCs w:val="22"/>
        </w:rPr>
        <w:t xml:space="preserve"> Bedenk de drie vragen waarop u het minst goed bent voorbereid. Formuleer per vraag uw antwoord in twee zinnen.</w:t>
      </w:r>
    </w:p>
    <w:p>
      <w:pPr>
        <w:pStyle w:val="ListParagraph"/>
        <w:numPr>
          <w:ilvl w:val="0"/>
          <w:numId w:val="2"/>
        </w:numPr>
        <w:spacing w:after="100"/>
      </w:pPr>
      <w:r>
        <w:rPr>
          <w:b/>
          <w:bCs/>
          <w:color w:val="1F2937"/>
          <w:sz w:val="22"/>
          <w:szCs w:val="22"/>
        </w:rPr>
        <w:t xml:space="preserve">d)</w:t>
      </w:r>
      <w:r>
        <w:rPr>
          <w:color w:val="1F2937"/>
          <w:sz w:val="22"/>
          <w:szCs w:val="22"/>
        </w:rPr>
        <w:t xml:space="preserve"> Bepaal per rol uit het panel welke keuze hem het meest zal storen, en waarom.</w:t>
      </w:r>
    </w:p>
    <w:p>
      <w:pPr>
        <w:spacing w:after="160" w:line="276"/>
      </w:pPr>
      <w:r>
        <w:rPr>
          <w:color w:val="1F2937"/>
          <w:sz w:val="22"/>
          <w:szCs w:val="22"/>
        </w:rPr>
        <w:t xml:space="preserve">Onderdeel c) is de nuttigste voorbereiding die er is. De vragen die u zelf niet durft te stellen, zijn precies de vragen die komen.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10.3</w:t>
            </w:r>
          </w:p>
          <w:p>
            <w:pPr>
              <w:spacing w:after="80"/>
            </w:pPr>
          </w:p>
          <w:p>
            <w:pPr>
              <w:spacing w:after="120" w:line="276"/>
            </w:pPr>
            <w:r>
              <w:rPr>
                <w:b/>
                <w:bCs/>
                <w:color w:val="1F2937"/>
                <w:sz w:val="21"/>
                <w:szCs w:val="21"/>
              </w:rPr>
              <w:t xml:space="preserve">c) De vragen waarop deelnemers zich het minst voorbereiden,</w:t>
            </w:r>
            <w:r>
              <w:rPr>
                <w:color w:val="1F2937"/>
                <w:sz w:val="21"/>
                <w:szCs w:val="21"/>
              </w:rPr>
              <w:t xml:space="preserve"> en die vrijwel zeker komen:</w:t>
            </w:r>
          </w:p>
          <w:p>
            <w:pPr>
              <w:pStyle w:val="ListParagraph"/>
              <w:numPr>
                <w:ilvl w:val="0"/>
                <w:numId w:val="2"/>
              </w:numPr>
              <w:spacing w:after="100"/>
            </w:pPr>
            <w:r>
              <w:rPr>
                <w:color w:val="1F2937"/>
                <w:sz w:val="22"/>
                <w:szCs w:val="22"/>
              </w:rPr>
              <w:t xml:space="preserve">"Waarom niet gewoon services? Iedereen doet dat." — Het antwoord is de drijverstoets, niet een oordeel over microservices.</w:t>
            </w:r>
          </w:p>
          <w:p>
            <w:pPr>
              <w:pStyle w:val="ListParagraph"/>
              <w:numPr>
                <w:ilvl w:val="0"/>
                <w:numId w:val="2"/>
              </w:numPr>
              <w:spacing w:after="100"/>
            </w:pPr>
            <w:r>
              <w:rPr>
                <w:color w:val="1F2937"/>
                <w:sz w:val="22"/>
                <w:szCs w:val="22"/>
              </w:rPr>
              <w:t xml:space="preserve">"Wie garandeert dat die modulegrenzen over twee jaar nog staan?" — Het antwoord is de bouwstraatcontrole, niet discipline.</w:t>
            </w:r>
          </w:p>
          <w:p>
            <w:pPr>
              <w:pStyle w:val="ListParagraph"/>
              <w:numPr>
                <w:ilvl w:val="0"/>
                <w:numId w:val="2"/>
              </w:numPr>
              <w:spacing w:after="100"/>
            </w:pPr>
            <w:r>
              <w:rPr>
                <w:color w:val="1F2937"/>
                <w:sz w:val="22"/>
                <w:szCs w:val="22"/>
              </w:rPr>
              <w:t xml:space="preserve">"Wat als u het mis heeft?" — Het antwoord is de herzieningsgrens en het restrisico. Wie hierop met zekerheid antwoordt, verliest.</w:t>
            </w:r>
          </w:p>
          <w:p>
            <w:pPr>
              <w:spacing w:after="100"/>
            </w:pPr>
          </w:p>
          <w:p>
            <w:pPr>
              <w:spacing w:after="120" w:line="276"/>
            </w:pPr>
            <w:r>
              <w:rPr>
                <w:b/>
                <w:bCs/>
                <w:color w:val="1F2937"/>
                <w:sz w:val="21"/>
                <w:szCs w:val="21"/>
              </w:rPr>
              <w:t xml:space="preserve">d) De keuze die elke rol het meest stoort:</w:t>
            </w:r>
            <w:r>
              <w:rPr>
                <w:color w:val="1F2937"/>
                <w:sz w:val="21"/>
                <w:szCs w:val="21"/>
              </w:rPr>
              <w:t xml:space="preserve"/>
            </w:r>
          </w:p>
          <w:tbl>
            <w:tblPr>
              <w:tblW w:type="dxa" w:w="89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900"/>
              <w:gridCol w:w="3700"/>
              <w:gridCol w:w="3338"/>
            </w:tblGrid>
            <w:tr>
              <w:trPr>
                <w:tblHeader/>
              </w:trPr>
              <w:tc>
                <w:tcPr>
                  <w:tcW w:type="dxa" w:w="1900"/>
                  <w:shd w:fill="1F3A5F" w:val="clear"/>
                  <w:tcMar>
                    <w:top w:type="dxa" w:w="100"/>
                    <w:left w:type="dxa" w:w="120"/>
                    <w:bottom w:type="dxa" w:w="100"/>
                    <w:right w:type="dxa" w:w="120"/>
                  </w:tcMar>
                  <w:vAlign w:val="center"/>
                </w:tcPr>
                <w:p>
                  <w:r>
                    <w:rPr>
                      <w:b/>
                      <w:bCs/>
                      <w:color w:val="FFFFFF"/>
                      <w:sz w:val="19"/>
                      <w:szCs w:val="19"/>
                    </w:rPr>
                    <w:t xml:space="preserve">Rol</w:t>
                  </w:r>
                </w:p>
              </w:tc>
              <w:tc>
                <w:tcPr>
                  <w:tcW w:type="dxa" w:w="3700"/>
                  <w:shd w:fill="1F3A5F" w:val="clear"/>
                  <w:tcMar>
                    <w:top w:type="dxa" w:w="100"/>
                    <w:left w:type="dxa" w:w="120"/>
                    <w:bottom w:type="dxa" w:w="100"/>
                    <w:right w:type="dxa" w:w="120"/>
                  </w:tcMar>
                  <w:vAlign w:val="center"/>
                </w:tcPr>
                <w:p>
                  <w:r>
                    <w:rPr>
                      <w:b/>
                      <w:bCs/>
                      <w:color w:val="FFFFFF"/>
                      <w:sz w:val="19"/>
                      <w:szCs w:val="19"/>
                    </w:rPr>
                    <w:t xml:space="preserve">Wat hem stoort</w:t>
                  </w:r>
                </w:p>
              </w:tc>
              <w:tc>
                <w:tcPr>
                  <w:tcW w:type="dxa" w:w="3338"/>
                  <w:shd w:fill="1F3A5F" w:val="clear"/>
                  <w:tcMar>
                    <w:top w:type="dxa" w:w="100"/>
                    <w:left w:type="dxa" w:w="120"/>
                    <w:bottom w:type="dxa" w:w="100"/>
                    <w:right w:type="dxa" w:w="120"/>
                  </w:tcMar>
                  <w:vAlign w:val="center"/>
                </w:tcPr>
                <w:p>
                  <w:r>
                    <w:rPr>
                      <w:b/>
                      <w:bCs/>
                      <w:color w:val="FFFFFF"/>
                      <w:sz w:val="19"/>
                      <w:szCs w:val="19"/>
                    </w:rPr>
                    <w:t xml:space="preserve">Waarom</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Directeur IT</w:t>
                  </w:r>
                </w:p>
              </w:tc>
              <w:tc>
                <w:tcPr>
                  <w:tcW w:type="dxa" w:w="3700"/>
                  <w:tcMar>
                    <w:top w:type="dxa" w:w="100"/>
                    <w:left w:type="dxa" w:w="120"/>
                    <w:bottom w:type="dxa" w:w="100"/>
                    <w:right w:type="dxa" w:w="120"/>
                  </w:tcMar>
                  <w:vAlign w:val="center"/>
                </w:tcPr>
                <w:p>
                  <w:r>
                    <w:rPr>
                      <w:b w:val="false"/>
                      <w:bCs w:val="false"/>
                      <w:color w:val="1F2937"/>
                      <w:sz w:val="19"/>
                      <w:szCs w:val="19"/>
                    </w:rPr>
                    <w:t xml:space="preserve">De twee sprints voor een prototype in week 8</w:t>
                  </w:r>
                </w:p>
              </w:tc>
              <w:tc>
                <w:tcPr>
                  <w:tcW w:type="dxa" w:w="3338"/>
                  <w:tcMar>
                    <w:top w:type="dxa" w:w="100"/>
                    <w:left w:type="dxa" w:w="120"/>
                    <w:bottom w:type="dxa" w:w="100"/>
                    <w:right w:type="dxa" w:w="120"/>
                  </w:tcMar>
                  <w:vAlign w:val="center"/>
                </w:tcPr>
                <w:p>
                  <w:r>
                    <w:rPr>
                      <w:b w:val="false"/>
                      <w:bCs w:val="false"/>
                      <w:color w:val="1F2937"/>
                      <w:sz w:val="19"/>
                      <w:szCs w:val="19"/>
                    </w:rPr>
                    <w:t xml:space="preserve">Zichtbaar verlies tegen onzichtbare winst</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Product owner</w:t>
                  </w:r>
                </w:p>
              </w:tc>
              <w:tc>
                <w:tcPr>
                  <w:tcW w:type="dxa" w:w="3700"/>
                  <w:tcMar>
                    <w:top w:type="dxa" w:w="100"/>
                    <w:left w:type="dxa" w:w="120"/>
                    <w:bottom w:type="dxa" w:w="100"/>
                    <w:right w:type="dxa" w:w="120"/>
                  </w:tcMar>
                  <w:vAlign w:val="center"/>
                </w:tcPr>
                <w:p>
                  <w:r>
                    <w:rPr>
                      <w:b w:val="false"/>
                      <w:bCs w:val="false"/>
                      <w:color w:val="1F2937"/>
                      <w:sz w:val="19"/>
                      <w:szCs w:val="19"/>
                    </w:rPr>
                    <w:t xml:space="preserve">De mutatiesoort als variatiepunt</w:t>
                  </w:r>
                </w:p>
              </w:tc>
              <w:tc>
                <w:tcPr>
                  <w:tcW w:type="dxa" w:w="3338"/>
                  <w:tcMar>
                    <w:top w:type="dxa" w:w="100"/>
                    <w:left w:type="dxa" w:w="120"/>
                    <w:bottom w:type="dxa" w:w="100"/>
                    <w:right w:type="dxa" w:w="120"/>
                  </w:tcMar>
                  <w:vAlign w:val="center"/>
                </w:tcPr>
                <w:p>
                  <w:r>
                    <w:rPr>
                      <w:b w:val="false"/>
                      <w:bCs w:val="false"/>
                      <w:color w:val="1F2937"/>
                      <w:sz w:val="19"/>
                      <w:szCs w:val="19"/>
                    </w:rPr>
                    <w:t xml:space="preserve">Meer werk in de eerste soorten, winst pas bij de vierde</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Beheer</w:t>
                  </w:r>
                </w:p>
              </w:tc>
              <w:tc>
                <w:tcPr>
                  <w:tcW w:type="dxa" w:w="3700"/>
                  <w:tcMar>
                    <w:top w:type="dxa" w:w="100"/>
                    <w:left w:type="dxa" w:w="120"/>
                    <w:bottom w:type="dxa" w:w="100"/>
                    <w:right w:type="dxa" w:w="120"/>
                  </w:tcMar>
                  <w:vAlign w:val="center"/>
                </w:tcPr>
                <w:p>
                  <w:r>
                    <w:rPr>
                      <w:b w:val="false"/>
                      <w:bCs w:val="false"/>
                      <w:color w:val="1F2937"/>
                      <w:sz w:val="19"/>
                      <w:szCs w:val="19"/>
                    </w:rPr>
                    <w:t xml:space="preserve">Het afwijkingsvenster tussen platform en kernadministratie</w:t>
                  </w:r>
                </w:p>
              </w:tc>
              <w:tc>
                <w:tcPr>
                  <w:tcW w:type="dxa" w:w="3338"/>
                  <w:tcMar>
                    <w:top w:type="dxa" w:w="100"/>
                    <w:left w:type="dxa" w:w="120"/>
                    <w:bottom w:type="dxa" w:w="100"/>
                    <w:right w:type="dxa" w:w="120"/>
                  </w:tcMar>
                  <w:vAlign w:val="center"/>
                </w:tcPr>
                <w:p>
                  <w:r>
                    <w:rPr>
                      <w:b w:val="false"/>
                      <w:bCs w:val="false"/>
                      <w:color w:val="1F2937"/>
                      <w:sz w:val="19"/>
                      <w:szCs w:val="19"/>
                    </w:rPr>
                    <w:t xml:space="preserve">Zij krijgen de telefoontjes die niemand kan verklaren</w:t>
                  </w:r>
                </w:p>
              </w:tc>
            </w:tr>
            <w:tr>
              <w:trPr>
                <w:cantSplit/>
              </w:trPr>
              <w:tc>
                <w:tcPr>
                  <w:tcW w:type="dxa" w:w="1900"/>
                  <w:tcMar>
                    <w:top w:type="dxa" w:w="100"/>
                    <w:left w:type="dxa" w:w="120"/>
                    <w:bottom w:type="dxa" w:w="100"/>
                    <w:right w:type="dxa" w:w="120"/>
                  </w:tcMar>
                  <w:vAlign w:val="center"/>
                </w:tcPr>
                <w:p>
                  <w:r>
                    <w:rPr>
                      <w:b w:val="false"/>
                      <w:bCs w:val="false"/>
                      <w:color w:val="1F2937"/>
                      <w:sz w:val="19"/>
                      <w:szCs w:val="19"/>
                    </w:rPr>
                    <w:t xml:space="preserve">Compliance</w:t>
                  </w:r>
                </w:p>
              </w:tc>
              <w:tc>
                <w:tcPr>
                  <w:tcW w:type="dxa" w:w="3700"/>
                  <w:tcMar>
                    <w:top w:type="dxa" w:w="100"/>
                    <w:left w:type="dxa" w:w="120"/>
                    <w:bottom w:type="dxa" w:w="100"/>
                    <w:right w:type="dxa" w:w="120"/>
                  </w:tcMar>
                  <w:vAlign w:val="center"/>
                </w:tcPr>
                <w:p>
                  <w:r>
                    <w:rPr>
                      <w:b w:val="false"/>
                      <w:bCs w:val="false"/>
                      <w:color w:val="1F2937"/>
                      <w:sz w:val="19"/>
                      <w:szCs w:val="19"/>
                    </w:rPr>
                    <w:t xml:space="preserve">Dat de bevestiging vóór doorgifte plaatsvindt</w:t>
                  </w:r>
                </w:p>
              </w:tc>
              <w:tc>
                <w:tcPr>
                  <w:tcW w:type="dxa" w:w="3338"/>
                  <w:tcMar>
                    <w:top w:type="dxa" w:w="100"/>
                    <w:left w:type="dxa" w:w="120"/>
                    <w:bottom w:type="dxa" w:w="100"/>
                    <w:right w:type="dxa" w:w="120"/>
                  </w:tcMar>
                  <w:vAlign w:val="center"/>
                </w:tcPr>
                <w:p>
                  <w:r>
                    <w:rPr>
                      <w:b w:val="false"/>
                      <w:bCs w:val="false"/>
                      <w:color w:val="1F2937"/>
                      <w:sz w:val="19"/>
                      <w:szCs w:val="19"/>
                    </w:rPr>
                    <w:t xml:space="preserve">Klinkt als "wij bevestigen iets wat nog niet verwerkt is"</w:t>
                  </w:r>
                </w:p>
              </w:tc>
            </w:tr>
          </w:tbl>
          <w:p>
            <w:pPr>
              <w:spacing w:after="100"/>
            </w:pPr>
          </w:p>
          <w:p>
            <w:pPr>
              <w:spacing w:after="120" w:line="276"/>
            </w:pPr>
            <w:r>
              <w:rPr>
                <w:color w:val="1F2937"/>
                <w:sz w:val="21"/>
                <w:szCs w:val="21"/>
              </w:rPr>
              <w:t xml:space="preserve">De compliance-zorg is de scherpste en het antwoord ligt in ADR-014: er wordt bevestigd ná onherroepelijke vastlegging van de gebeurtenis mét goedkeurder, en juist die vastlegging is wat de aantoonbaarheid draagt. Wie dat helder kan uitleggen, heeft criterium 1 en 4 tegelijk gehaald.</w:t>
            </w:r>
          </w:p>
        </w:tc>
      </w:tr>
    </w:tbl>
    <w:p>
      <w:pPr>
        <w:spacing w:after="300"/>
      </w:pPr>
    </w:p>
    <w:p>
      <w:pPr>
        <w:pStyle w:val="Heading1"/>
        <w:pBdr>
          <w:bottom w:val="single" w:color="E5E7EB" w:sz="6" w:space="6"/>
        </w:pBdr>
        <w:spacing w:after="180" w:before="380"/>
      </w:pPr>
      <w:r>
        <w:rPr>
          <w:b/>
          <w:bCs/>
          <w:color w:val="1F3A5F"/>
          <w:sz w:val="30"/>
          <w:szCs w:val="30"/>
        </w:rPr>
        <w:t xml:space="preserve">Opdracht 10.4 — De verdediging (individueel, 20 minuten per deelnemer)</w:t>
      </w:r>
    </w:p>
    <w:p>
      <w:pPr>
        <w:spacing w:after="160" w:line="276"/>
      </w:pPr>
      <w:r>
        <w:rPr>
          <w:color w:val="1F2937"/>
          <w:sz w:val="22"/>
          <w:szCs w:val="22"/>
        </w:rPr>
        <w:t xml:space="preserve">Zie paragraaf 10.4 van de reader voor de opzet. Het panel gebruikt bijlage Y; de beoordeling verloopt via bijlage Z.</w:t>
      </w:r>
    </w:p>
    <w:p>
      <w:pPr>
        <w:spacing w:after="160" w:line="276"/>
      </w:pPr>
      <w:r>
        <w:rPr>
          <w:color w:val="1F2937"/>
          <w:sz w:val="22"/>
          <w:szCs w:val="22"/>
        </w:rPr>
        <w:t xml:space="preserve">Na afloop van elke verdediging: twee minuten terugkoppeling van het panel, met één sterk punt en één punt dat scherper kon.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10.4 — Beoordelingsrubriek</w:t>
            </w:r>
          </w:p>
          <w:p>
            <w:pPr>
              <w:spacing w:after="80"/>
            </w:pPr>
          </w:p>
          <w:tbl>
            <w:tblPr>
              <w:tblW w:type="dxa" w:w="8938"/>
              <w:tblBorders>
                <w:top w:val="single" w:color="E5E7EB" w:sz="4"/>
                <w:left w:val="single" w:color="E5E7EB" w:sz="4"/>
                <w:bottom w:val="single" w:color="E5E7EB" w:sz="4"/>
                <w:right w:val="single" w:color="E5E7EB" w:sz="4"/>
                <w:insideH w:val="single" w:color="E5E7EB" w:sz="4"/>
                <w:insideV w:val="single" w:color="E5E7EB" w:sz="4"/>
              </w:tblBorders>
              <w:tblLayout w:type="fixed"/>
            </w:tblPr>
            <w:tblGrid>
              <w:gridCol w:w="1800"/>
              <w:gridCol w:w="2400"/>
              <w:gridCol w:w="2400"/>
              <w:gridCol w:w="2338"/>
            </w:tblGrid>
            <w:tr>
              <w:trPr>
                <w:tblHeader/>
              </w:trPr>
              <w:tc>
                <w:tcPr>
                  <w:tcW w:type="dxa" w:w="1800"/>
                  <w:shd w:fill="1F3A5F" w:val="clear"/>
                  <w:tcMar>
                    <w:top w:type="dxa" w:w="100"/>
                    <w:left w:type="dxa" w:w="120"/>
                    <w:bottom w:type="dxa" w:w="100"/>
                    <w:right w:type="dxa" w:w="120"/>
                  </w:tcMar>
                  <w:vAlign w:val="center"/>
                </w:tcPr>
                <w:p>
                  <w:r>
                    <w:rPr>
                      <w:b/>
                      <w:bCs/>
                      <w:color w:val="FFFFFF"/>
                      <w:sz w:val="19"/>
                      <w:szCs w:val="19"/>
                    </w:rPr>
                    <w:t xml:space="preserve">Criterium</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Onvoldoende</w:t>
                  </w:r>
                </w:p>
              </w:tc>
              <w:tc>
                <w:tcPr>
                  <w:tcW w:type="dxa" w:w="2400"/>
                  <w:shd w:fill="1F3A5F" w:val="clear"/>
                  <w:tcMar>
                    <w:top w:type="dxa" w:w="100"/>
                    <w:left w:type="dxa" w:w="120"/>
                    <w:bottom w:type="dxa" w:w="100"/>
                    <w:right w:type="dxa" w:w="120"/>
                  </w:tcMar>
                  <w:vAlign w:val="center"/>
                </w:tcPr>
                <w:p>
                  <w:r>
                    <w:rPr>
                      <w:b/>
                      <w:bCs/>
                      <w:color w:val="FFFFFF"/>
                      <w:sz w:val="19"/>
                      <w:szCs w:val="19"/>
                    </w:rPr>
                    <w:t xml:space="preserve">Voldoende</w:t>
                  </w:r>
                </w:p>
              </w:tc>
              <w:tc>
                <w:tcPr>
                  <w:tcW w:type="dxa" w:w="2338"/>
                  <w:shd w:fill="1F3A5F" w:val="clear"/>
                  <w:tcMar>
                    <w:top w:type="dxa" w:w="100"/>
                    <w:left w:type="dxa" w:w="120"/>
                    <w:bottom w:type="dxa" w:w="100"/>
                    <w:right w:type="dxa" w:w="120"/>
                  </w:tcMar>
                  <w:vAlign w:val="center"/>
                </w:tcPr>
                <w:p>
                  <w:r>
                    <w:rPr>
                      <w:b/>
                      <w:bCs/>
                      <w:color w:val="FFFFFF"/>
                      <w:sz w:val="19"/>
                      <w:szCs w:val="19"/>
                    </w:rPr>
                    <w:t xml:space="preserve">Sterk</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1 Verantwoording tegen drijvers</w:t>
                  </w:r>
                </w:p>
              </w:tc>
              <w:tc>
                <w:tcPr>
                  <w:tcW w:type="dxa" w:w="2400"/>
                  <w:tcMar>
                    <w:top w:type="dxa" w:w="100"/>
                    <w:left w:type="dxa" w:w="120"/>
                    <w:bottom w:type="dxa" w:w="100"/>
                    <w:right w:type="dxa" w:w="120"/>
                  </w:tcMar>
                  <w:vAlign w:val="center"/>
                </w:tcPr>
                <w:p>
                  <w:r>
                    <w:rPr>
                      <w:b w:val="false"/>
                      <w:bCs w:val="false"/>
                      <w:color w:val="1F2937"/>
                      <w:sz w:val="19"/>
                      <w:szCs w:val="19"/>
                    </w:rPr>
                    <w:t xml:space="preserve">Keuzes verdedigd met methodenamen of voorkeur</w:t>
                  </w:r>
                </w:p>
              </w:tc>
              <w:tc>
                <w:tcPr>
                  <w:tcW w:type="dxa" w:w="2400"/>
                  <w:tcMar>
                    <w:top w:type="dxa" w:w="100"/>
                    <w:left w:type="dxa" w:w="120"/>
                    <w:bottom w:type="dxa" w:w="100"/>
                    <w:right w:type="dxa" w:w="120"/>
                  </w:tcMar>
                  <w:vAlign w:val="center"/>
                </w:tcPr>
                <w:p>
                  <w:r>
                    <w:rPr>
                      <w:b w:val="false"/>
                      <w:bCs w:val="false"/>
                      <w:color w:val="1F2937"/>
                      <w:sz w:val="19"/>
                      <w:szCs w:val="19"/>
                    </w:rPr>
                    <w:t xml:space="preserve">De meeste keuzes herleidbaar tot een scenario of randvoorwaarde</w:t>
                  </w:r>
                </w:p>
              </w:tc>
              <w:tc>
                <w:tcPr>
                  <w:tcW w:type="dxa" w:w="2338"/>
                  <w:tcMar>
                    <w:top w:type="dxa" w:w="100"/>
                    <w:left w:type="dxa" w:w="120"/>
                    <w:bottom w:type="dxa" w:w="100"/>
                    <w:right w:type="dxa" w:w="120"/>
                  </w:tcMar>
                  <w:vAlign w:val="center"/>
                </w:tcPr>
                <w:p>
                  <w:r>
                    <w:rPr>
                      <w:b w:val="false"/>
                      <w:bCs w:val="false"/>
                      <w:color w:val="1F2937"/>
                      <w:sz w:val="19"/>
                      <w:szCs w:val="19"/>
                    </w:rPr>
                    <w:t xml:space="preserve">Elke keuze herleidbaar; bij doorvragen komt het scenario en de responsmaat erbij</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2 Benoemde prijs</w:t>
                  </w:r>
                </w:p>
              </w:tc>
              <w:tc>
                <w:tcPr>
                  <w:tcW w:type="dxa" w:w="2400"/>
                  <w:tcMar>
                    <w:top w:type="dxa" w:w="100"/>
                    <w:left w:type="dxa" w:w="120"/>
                    <w:bottom w:type="dxa" w:w="100"/>
                    <w:right w:type="dxa" w:w="120"/>
                  </w:tcMar>
                  <w:vAlign w:val="center"/>
                </w:tcPr>
                <w:p>
                  <w:r>
                    <w:rPr>
                      <w:b w:val="false"/>
                      <w:bCs w:val="false"/>
                      <w:color w:val="1F2937"/>
                      <w:sz w:val="19"/>
                      <w:szCs w:val="19"/>
                    </w:rPr>
                    <w:t xml:space="preserve">Kan niet zeggen wat er slechter wordt</w:t>
                  </w:r>
                </w:p>
              </w:tc>
              <w:tc>
                <w:tcPr>
                  <w:tcW w:type="dxa" w:w="2400"/>
                  <w:tcMar>
                    <w:top w:type="dxa" w:w="100"/>
                    <w:left w:type="dxa" w:w="120"/>
                    <w:bottom w:type="dxa" w:w="100"/>
                    <w:right w:type="dxa" w:w="120"/>
                  </w:tcMar>
                  <w:vAlign w:val="center"/>
                </w:tcPr>
                <w:p>
                  <w:r>
                    <w:rPr>
                      <w:b w:val="false"/>
                      <w:bCs w:val="false"/>
                      <w:color w:val="1F2937"/>
                      <w:sz w:val="19"/>
                      <w:szCs w:val="19"/>
                    </w:rPr>
                    <w:t xml:space="preserve">Benoemt de prijs in technische termen</w:t>
                  </w:r>
                </w:p>
              </w:tc>
              <w:tc>
                <w:tcPr>
                  <w:tcW w:type="dxa" w:w="2338"/>
                  <w:tcMar>
                    <w:top w:type="dxa" w:w="100"/>
                    <w:left w:type="dxa" w:w="120"/>
                    <w:bottom w:type="dxa" w:w="100"/>
                    <w:right w:type="dxa" w:w="120"/>
                  </w:tcMar>
                  <w:vAlign w:val="center"/>
                </w:tcPr>
                <w:p>
                  <w:r>
                    <w:rPr>
                      <w:b w:val="false"/>
                      <w:bCs w:val="false"/>
                      <w:color w:val="1F2937"/>
                      <w:sz w:val="19"/>
                      <w:szCs w:val="19"/>
                    </w:rPr>
                    <w:t xml:space="preserve">Benoemt de prijs én wie hem merkt, in de taal van die partij</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3 Bevindingen mét restrisico</w:t>
                  </w:r>
                </w:p>
              </w:tc>
              <w:tc>
                <w:tcPr>
                  <w:tcW w:type="dxa" w:w="2400"/>
                  <w:tcMar>
                    <w:top w:type="dxa" w:w="100"/>
                    <w:left w:type="dxa" w:w="120"/>
                    <w:bottom w:type="dxa" w:w="100"/>
                    <w:right w:type="dxa" w:w="120"/>
                  </w:tcMar>
                  <w:vAlign w:val="center"/>
                </w:tcPr>
                <w:p>
                  <w:r>
                    <w:rPr>
                      <w:b w:val="false"/>
                      <w:bCs w:val="false"/>
                      <w:color w:val="1F2937"/>
                      <w:sz w:val="19"/>
                      <w:szCs w:val="19"/>
                    </w:rPr>
                    <w:t xml:space="preserve">Bevindingen afgevinkt zonder restrisico</w:t>
                  </w:r>
                </w:p>
              </w:tc>
              <w:tc>
                <w:tcPr>
                  <w:tcW w:type="dxa" w:w="2400"/>
                  <w:tcMar>
                    <w:top w:type="dxa" w:w="100"/>
                    <w:left w:type="dxa" w:w="120"/>
                    <w:bottom w:type="dxa" w:w="100"/>
                    <w:right w:type="dxa" w:w="120"/>
                  </w:tcMar>
                  <w:vAlign w:val="center"/>
                </w:tcPr>
                <w:p>
                  <w:r>
                    <w:rPr>
                      <w:b w:val="false"/>
                      <w:bCs w:val="false"/>
                      <w:color w:val="1F2937"/>
                      <w:sz w:val="19"/>
                      <w:szCs w:val="19"/>
                    </w:rPr>
                    <w:t xml:space="preserve">Alle zeven geadresseerd met maatregel en eigenaar</w:t>
                  </w:r>
                </w:p>
              </w:tc>
              <w:tc>
                <w:tcPr>
                  <w:tcW w:type="dxa" w:w="2338"/>
                  <w:tcMar>
                    <w:top w:type="dxa" w:w="100"/>
                    <w:left w:type="dxa" w:w="120"/>
                    <w:bottom w:type="dxa" w:w="100"/>
                    <w:right w:type="dxa" w:w="120"/>
                  </w:tcMar>
                  <w:vAlign w:val="center"/>
                </w:tcPr>
                <w:p>
                  <w:r>
                    <w:rPr>
                      <w:b w:val="false"/>
                      <w:bCs w:val="false"/>
                      <w:color w:val="1F2937"/>
                      <w:sz w:val="19"/>
                      <w:szCs w:val="19"/>
                    </w:rPr>
                    <w:t xml:space="preserve">Restrisico per bevinding benoemd, inclusief de plek waar het ontwerp het zwakst is</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4 Omgaan met kritiek</w:t>
                  </w:r>
                </w:p>
              </w:tc>
              <w:tc>
                <w:tcPr>
                  <w:tcW w:type="dxa" w:w="2400"/>
                  <w:tcMar>
                    <w:top w:type="dxa" w:w="100"/>
                    <w:left w:type="dxa" w:w="120"/>
                    <w:bottom w:type="dxa" w:w="100"/>
                    <w:right w:type="dxa" w:w="120"/>
                  </w:tcMar>
                  <w:vAlign w:val="center"/>
                </w:tcPr>
                <w:p>
                  <w:r>
                    <w:rPr>
                      <w:b w:val="false"/>
                      <w:bCs w:val="false"/>
                      <w:color w:val="1F2937"/>
                      <w:sz w:val="19"/>
                      <w:szCs w:val="19"/>
                    </w:rPr>
                    <w:t xml:space="preserve">Geeft alles op, of pareert alles</w:t>
                  </w:r>
                </w:p>
              </w:tc>
              <w:tc>
                <w:tcPr>
                  <w:tcW w:type="dxa" w:w="2400"/>
                  <w:tcMar>
                    <w:top w:type="dxa" w:w="100"/>
                    <w:left w:type="dxa" w:w="120"/>
                    <w:bottom w:type="dxa" w:w="100"/>
                    <w:right w:type="dxa" w:w="120"/>
                  </w:tcMar>
                  <w:vAlign w:val="center"/>
                </w:tcPr>
                <w:p>
                  <w:r>
                    <w:rPr>
                      <w:b w:val="false"/>
                      <w:bCs w:val="false"/>
                      <w:color w:val="1F2937"/>
                      <w:sz w:val="19"/>
                      <w:szCs w:val="19"/>
                    </w:rPr>
                    <w:t xml:space="preserve">Onderscheidt terechte van onterechte kritiek</w:t>
                  </w:r>
                </w:p>
              </w:tc>
              <w:tc>
                <w:tcPr>
                  <w:tcW w:type="dxa" w:w="2338"/>
                  <w:tcMar>
                    <w:top w:type="dxa" w:w="100"/>
                    <w:left w:type="dxa" w:w="120"/>
                    <w:bottom w:type="dxa" w:w="100"/>
                    <w:right w:type="dxa" w:w="120"/>
                  </w:tcMar>
                  <w:vAlign w:val="center"/>
                </w:tcPr>
                <w:p>
                  <w:r>
                    <w:rPr>
                      <w:b w:val="false"/>
                      <w:bCs w:val="false"/>
                      <w:color w:val="1F2937"/>
                      <w:sz w:val="19"/>
                      <w:szCs w:val="19"/>
                    </w:rPr>
                    <w:t xml:space="preserve">Erkent, verheldert en weerlegt gericht; gebruikt de drijvers om te weerleggen</w:t>
                  </w:r>
                </w:p>
              </w:tc>
            </w:tr>
            <w:tr>
              <w:trPr>
                <w:cantSplit/>
              </w:trPr>
              <w:tc>
                <w:tcPr>
                  <w:tcW w:type="dxa" w:w="1800"/>
                  <w:tcMar>
                    <w:top w:type="dxa" w:w="100"/>
                    <w:left w:type="dxa" w:w="120"/>
                    <w:bottom w:type="dxa" w:w="100"/>
                    <w:right w:type="dxa" w:w="120"/>
                  </w:tcMar>
                  <w:vAlign w:val="center"/>
                </w:tcPr>
                <w:p>
                  <w:r>
                    <w:rPr>
                      <w:b w:val="false"/>
                      <w:bCs w:val="false"/>
                      <w:color w:val="1F2937"/>
                      <w:sz w:val="19"/>
                      <w:szCs w:val="19"/>
                    </w:rPr>
                    <w:t xml:space="preserve">5 Overdraagbaarheid</w:t>
                  </w:r>
                </w:p>
              </w:tc>
              <w:tc>
                <w:tcPr>
                  <w:tcW w:type="dxa" w:w="2400"/>
                  <w:tcMar>
                    <w:top w:type="dxa" w:w="100"/>
                    <w:left w:type="dxa" w:w="120"/>
                    <w:bottom w:type="dxa" w:w="100"/>
                    <w:right w:type="dxa" w:w="120"/>
                  </w:tcMar>
                  <w:vAlign w:val="center"/>
                </w:tcPr>
                <w:p>
                  <w:r>
                    <w:rPr>
                      <w:b w:val="false"/>
                      <w:bCs w:val="false"/>
                      <w:color w:val="1F2937"/>
                      <w:sz w:val="19"/>
                      <w:szCs w:val="19"/>
                    </w:rPr>
                    <w:t xml:space="preserve">Uitleg vergt voorkennis van het dossier</w:t>
                  </w:r>
                </w:p>
              </w:tc>
              <w:tc>
                <w:tcPr>
                  <w:tcW w:type="dxa" w:w="2400"/>
                  <w:tcMar>
                    <w:top w:type="dxa" w:w="100"/>
                    <w:left w:type="dxa" w:w="120"/>
                    <w:bottom w:type="dxa" w:w="100"/>
                    <w:right w:type="dxa" w:w="120"/>
                  </w:tcMar>
                  <w:vAlign w:val="center"/>
                </w:tcPr>
                <w:p>
                  <w:r>
                    <w:rPr>
                      <w:b w:val="false"/>
                      <w:bCs w:val="false"/>
                      <w:color w:val="1F2937"/>
                      <w:sz w:val="19"/>
                      <w:szCs w:val="19"/>
                    </w:rPr>
                    <w:t xml:space="preserve">Een buitenstaander begrijpt de hoofdlijn</w:t>
                  </w:r>
                </w:p>
              </w:tc>
              <w:tc>
                <w:tcPr>
                  <w:tcW w:type="dxa" w:w="2338"/>
                  <w:tcMar>
                    <w:top w:type="dxa" w:w="100"/>
                    <w:left w:type="dxa" w:w="120"/>
                    <w:bottom w:type="dxa" w:w="100"/>
                    <w:right w:type="dxa" w:w="120"/>
                  </w:tcMar>
                  <w:vAlign w:val="center"/>
                </w:tcPr>
                <w:p>
                  <w:r>
                    <w:rPr>
                      <w:b w:val="false"/>
                      <w:bCs w:val="false"/>
                      <w:color w:val="1F2937"/>
                      <w:sz w:val="19"/>
                      <w:szCs w:val="19"/>
                    </w:rPr>
                    <w:t xml:space="preserve">Een buitenstaander weet waar hij zou beginnen bij een wijziging</w:t>
                  </w:r>
                </w:p>
              </w:tc>
            </w:tr>
          </w:tbl>
          <w:p>
            <w:pPr>
              <w:spacing w:after="100"/>
            </w:pPr>
          </w:p>
          <w:p>
            <w:pPr>
              <w:spacing w:after="120" w:line="276"/>
            </w:pPr>
            <w:r>
              <w:rPr>
                <w:b/>
                <w:bCs/>
                <w:color w:val="1F2937"/>
                <w:sz w:val="21"/>
                <w:szCs w:val="21"/>
              </w:rPr>
              <w:t xml:space="preserve">De meest voorkomende zwakte is criterium 4,</w:t>
            </w:r>
            <w:r>
              <w:rPr>
                <w:color w:val="1F2937"/>
                <w:sz w:val="21"/>
                <w:szCs w:val="21"/>
              </w:rPr>
              <w:t xml:space="preserve"> en zij komt in twee vormen. Deelnemers die bij de eerste tegenwerping hun ontwerp herzien, laten zien dat zij hun keuzes niet dragen. Deelnemers die elke tegenwerping pareren, laten zien dat zij niet luisteren — en dat is in de praktijk de duurdere fout, want die architect hoort de scenario's van beheer en compliance nooit.</w:t>
            </w:r>
          </w:p>
          <w:p>
            <w:pPr>
              <w:spacing w:after="120" w:line="276"/>
            </w:pPr>
            <w:r>
              <w:rPr>
                <w:b/>
                <w:bCs/>
                <w:color w:val="1F2937"/>
                <w:sz w:val="21"/>
                <w:szCs w:val="21"/>
              </w:rPr>
              <w:t xml:space="preserve">De zin die het panel het liefst hoort</w:t>
            </w:r>
            <w:r>
              <w:rPr>
                <w:color w:val="1F2937"/>
                <w:sz w:val="21"/>
                <w:szCs w:val="21"/>
              </w:rPr>
              <w:t xml:space="preserve"> heeft ongeveer deze vorm: "Dat is een terecht punt en het staat als restrisico in mijn register. Wat ik ertegen heb gedaan is X; wat overblijft is Y, en dat wordt bewaakt door Z."</w:t>
            </w:r>
          </w:p>
        </w:tc>
      </w:tr>
    </w:tbl>
    <w:p>
      <w:pPr>
        <w:spacing w:after="300"/>
      </w:pPr>
    </w:p>
    <w:p>
      <w:pPr>
        <w:pStyle w:val="Heading1"/>
        <w:pBdr>
          <w:bottom w:val="single" w:color="E5E7EB" w:sz="6" w:space="6"/>
        </w:pBdr>
        <w:spacing w:after="180" w:before="380"/>
      </w:pPr>
      <w:r>
        <w:rPr>
          <w:b/>
          <w:bCs/>
          <w:color w:val="1F3A5F"/>
          <w:sz w:val="30"/>
          <w:szCs w:val="30"/>
        </w:rPr>
        <w:t xml:space="preserve">Opdracht 10.5 — De terugblik (individueel, 20 minuten)</w:t>
      </w:r>
    </w:p>
    <w:p>
      <w:pPr>
        <w:pStyle w:val="ListParagraph"/>
        <w:numPr>
          <w:ilvl w:val="0"/>
          <w:numId w:val="2"/>
        </w:numPr>
        <w:spacing w:after="100"/>
      </w:pPr>
      <w:r>
        <w:rPr>
          <w:b/>
          <w:bCs/>
          <w:color w:val="1F2937"/>
          <w:sz w:val="22"/>
          <w:szCs w:val="22"/>
        </w:rPr>
        <w:t xml:space="preserve">a)</w:t>
      </w:r>
      <w:r>
        <w:rPr>
          <w:color w:val="1F2937"/>
          <w:sz w:val="22"/>
          <w:szCs w:val="22"/>
        </w:rPr>
        <w:t xml:space="preserve"> Open uw positioneringsverklaring uit opdracht 1.6 en lees haar. Wat voorspelde u als belangrijkste architectuurkeuze?</w:t>
      </w:r>
    </w:p>
    <w:p>
      <w:pPr>
        <w:pStyle w:val="ListParagraph"/>
        <w:numPr>
          <w:ilvl w:val="0"/>
          <w:numId w:val="2"/>
        </w:numPr>
        <w:spacing w:after="100"/>
      </w:pPr>
      <w:r>
        <w:rPr>
          <w:b/>
          <w:bCs/>
          <w:color w:val="1F2937"/>
          <w:sz w:val="22"/>
          <w:szCs w:val="22"/>
        </w:rPr>
        <w:t xml:space="preserve">b)</w:t>
      </w:r>
      <w:r>
        <w:rPr>
          <w:color w:val="1F2937"/>
          <w:sz w:val="22"/>
          <w:szCs w:val="22"/>
        </w:rPr>
        <w:t xml:space="preserve"> Wat is het in werkelijkheid geworden? Beschrijf het verschil in twee zinnen.</w:t>
      </w:r>
    </w:p>
    <w:p>
      <w:pPr>
        <w:pStyle w:val="ListParagraph"/>
        <w:numPr>
          <w:ilvl w:val="0"/>
          <w:numId w:val="2"/>
        </w:numPr>
        <w:spacing w:after="100"/>
      </w:pPr>
      <w:r>
        <w:rPr>
          <w:b/>
          <w:bCs/>
          <w:color w:val="1F2937"/>
          <w:sz w:val="22"/>
          <w:szCs w:val="22"/>
        </w:rPr>
        <w:t xml:space="preserve">c)</w:t>
      </w:r>
      <w:r>
        <w:rPr>
          <w:color w:val="1F2937"/>
          <w:sz w:val="22"/>
          <w:szCs w:val="22"/>
        </w:rPr>
        <w:t xml:space="preserve"> Welke van de zeven bevindingen herkent u het sterkst in uw eigen organisatie? Wat zou u er maandag aan kunnen doen dat geen mandaat vereist?</w:t>
      </w:r>
    </w:p>
    <w:p>
      <w:pPr>
        <w:pStyle w:val="ListParagraph"/>
        <w:numPr>
          <w:ilvl w:val="0"/>
          <w:numId w:val="2"/>
        </w:numPr>
        <w:spacing w:after="100"/>
      </w:pPr>
      <w:r>
        <w:rPr>
          <w:b/>
          <w:bCs/>
          <w:color w:val="1F2937"/>
          <w:sz w:val="22"/>
          <w:szCs w:val="22"/>
        </w:rPr>
        <w:t xml:space="preserve">d)</w:t>
      </w:r>
      <w:r>
        <w:rPr>
          <w:color w:val="1F2937"/>
          <w:sz w:val="22"/>
          <w:szCs w:val="22"/>
        </w:rPr>
        <w:t xml:space="preserve"> Kijk naar de parkeerlijst uit deel 1 (de oplossingen die de klas op dag één voorstelde). Hoeveel daarvan staan nog overeind?</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Borders>
              <w:top w:val="single" w:color="B45309" w:sz="4"/>
              <w:left w:val="single" w:color="B45309" w:sz="24"/>
              <w:bottom w:val="single" w:color="E5E7EB" w:sz="4"/>
              <w:right w:val="single" w:color="E5E7EB" w:sz="4"/>
            </w:tcBorders>
            <w:shd w:fill="FBF3EA" w:val="clear"/>
            <w:tcMar>
              <w:top w:type="dxa" w:w="160"/>
              <w:left w:type="dxa" w:w="220"/>
              <w:bottom w:type="dxa" w:w="160"/>
              <w:right w:type="dxa" w:w="220"/>
            </w:tcMar>
          </w:tcPr>
          <w:p>
            <w:pPr>
              <w:spacing w:after="100"/>
            </w:pPr>
            <w:r>
              <w:rPr>
                <w:b/>
                <w:bCs/>
                <w:color w:val="B45309"/>
                <w:sz w:val="17"/>
                <w:szCs w:val="17"/>
              </w:rPr>
              <w:t xml:space="preserve">UITWERKING</w:t>
            </w:r>
          </w:p>
          <w:p>
            <w:pPr>
              <w:spacing w:after="120" w:line="276"/>
            </w:pPr>
            <w:r>
              <w:rPr>
                <w:b/>
                <w:bCs/>
                <w:color w:val="1F3A5F"/>
                <w:sz w:val="22"/>
                <w:szCs w:val="22"/>
              </w:rPr>
              <w:t xml:space="preserve">Uitwerking 10.5</w:t>
            </w:r>
          </w:p>
          <w:p>
            <w:pPr>
              <w:spacing w:after="80"/>
            </w:pPr>
          </w:p>
          <w:p>
            <w:pPr>
              <w:spacing w:after="120" w:line="276"/>
            </w:pPr>
            <w:r>
              <w:rPr>
                <w:b/>
                <w:bCs/>
                <w:color w:val="1F2937"/>
                <w:sz w:val="21"/>
                <w:szCs w:val="21"/>
              </w:rPr>
              <w:t xml:space="preserve">a/b)</w:t>
            </w:r>
            <w:r>
              <w:rPr>
                <w:color w:val="1F2937"/>
                <w:sz w:val="21"/>
                <w:szCs w:val="21"/>
              </w:rPr>
              <w:t xml:space="preserve"> In de meeste gevallen voorspelde de deelnemer op dag één een technologie- of stijlkeuze. De doorslaggevende keuze bleek van een andere orde: de indeling naar reden-van-verandering (deel 3), de vastlegging van mutatiegeschiedenis als bron (deel 5), of de vraag wie een kader bewaakt (deel 9).</w:t>
            </w:r>
          </w:p>
          <w:p>
            <w:pPr>
              <w:spacing w:after="120" w:line="276"/>
            </w:pPr>
            <w:r>
              <w:rPr>
                <w:color w:val="1F2937"/>
                <w:sz w:val="21"/>
                <w:szCs w:val="21"/>
              </w:rPr>
              <w:t xml:space="preserve">Dat verschil is geen fout in uw voorspelling. Het is de reden dat dit niveau tien delen duurt.</w:t>
            </w:r>
          </w:p>
          <w:p>
            <w:pPr>
              <w:spacing w:after="120" w:line="276"/>
            </w:pPr>
            <w:r>
              <w:rPr>
                <w:b/>
                <w:bCs/>
                <w:color w:val="1F2937"/>
                <w:sz w:val="21"/>
                <w:szCs w:val="21"/>
              </w:rPr>
              <w:t xml:space="preserve">c)</w:t>
            </w:r>
            <w:r>
              <w:rPr>
                <w:color w:val="1F2937"/>
                <w:sz w:val="21"/>
                <w:szCs w:val="21"/>
              </w:rPr>
              <w:t xml:space="preserve"> De drie ingrepen zonder mandaat, uit paragraaf 10.6: doorvragen bij elke stellige mededeling; één ADR schrijven over een beslissing van deze week; en één rekensom maken die u anders niet had gemaakt.</w:t>
            </w:r>
          </w:p>
          <w:p>
            <w:pPr>
              <w:spacing w:after="120" w:line="276"/>
            </w:pPr>
            <w:r>
              <w:rPr>
                <w:color w:val="1F2937"/>
                <w:sz w:val="21"/>
                <w:szCs w:val="21"/>
              </w:rPr>
              <w:t xml:space="preserve">Deelnemers die op maandag met een van deze drie beginnen, hebben meer aan dit niveau dan deelnemers die op de gelegenheid wachten om een architectuur te herontwerpen.</w:t>
            </w:r>
          </w:p>
          <w:p>
            <w:pPr>
              <w:spacing w:after="120" w:line="276"/>
            </w:pPr>
            <w:r>
              <w:rPr>
                <w:b/>
                <w:bCs/>
                <w:color w:val="1F2937"/>
                <w:sz w:val="21"/>
                <w:szCs w:val="21"/>
              </w:rPr>
              <w:t xml:space="preserve">d)</w:t>
            </w:r>
            <w:r>
              <w:rPr>
                <w:color w:val="1F2937"/>
                <w:sz w:val="21"/>
                <w:szCs w:val="21"/>
              </w:rPr>
              <w:t xml:space="preserve"> Van de oplossingen op de parkeerlijst uit deel 1 staat doorgaans een minderheid nog overeind — meestal de eenvoudigste (de aanroepketen inkorten) en zelden de ingrijpendste (de bus vervangen, herbouwen in een andere stapel).</w:t>
            </w:r>
          </w:p>
          <w:p>
            <w:pPr>
              <w:spacing w:after="120" w:line="276"/>
            </w:pPr>
            <w:r>
              <w:rPr>
                <w:color w:val="1F2937"/>
                <w:sz w:val="21"/>
                <w:szCs w:val="21"/>
              </w:rPr>
              <w:t xml:space="preserve">Dat is een goed slotbeeld: het meeste van wat op dag één werd voorgesteld, was een oplossing zonder probleemanalyse. De negen delen daartussen waren de analyse.</w:t>
            </w:r>
          </w:p>
        </w:tc>
      </w:tr>
    </w:tbl>
    <w:p>
      <w:pPr>
        <w:pBdr>
          <w:top w:val="single" w:color="E5E7EB" w:sz="4" w:space="8"/>
        </w:pBdr>
        <w:spacing w:before="400"/>
        <w:jc w:val="center"/>
      </w:pPr>
      <w:r>
        <w:rPr>
          <w:i/>
          <w:iCs/>
          <w:color w:val="6B7280"/>
          <w:sz w:val="17"/>
          <w:szCs w:val="17"/>
        </w:rPr>
        <w:t xml:space="preserve">Ductus B.V. · Cursus Softwarearchitectuur · Niveau 1, deel 10 · Werkboek</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5"/>
        <w:szCs w:val="15"/>
      </w:rPr>
      <w:t xml:space="preserve">Ductus B.V.  ·  pagina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5"/>
        <w:szCs w:val="15"/>
      </w:rPr>
      <w:t xml:space="preserve">Cursus Softwarearchitectuur · Niveau 1, deel 10 · Werkboek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2026-08-17T14:08:27.305Z</dcterms:created>
  <dcterms:modified xsi:type="dcterms:W3CDTF">2026-08-17T14:08:27.308Z</dcterms:modified>
</cp:coreProperties>
</file>

<file path=docProps/custom.xml><?xml version="1.0" encoding="utf-8"?>
<Properties xmlns="http://schemas.openxmlformats.org/officeDocument/2006/custom-properties" xmlns:vt="http://schemas.openxmlformats.org/officeDocument/2006/docPropsVTypes"/>
</file>