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11 — Strategisch domeingedreven ontwerp</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11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is de opening van niveau 2 en het heeft daarom drie taken naast de inhoud:</w:t>
      </w:r>
    </w:p>
    <w:p>
      <w:pPr>
        <w:pStyle w:val="ListParagraph"/>
        <w:numPr>
          <w:ilvl w:val="0"/>
          <w:numId w:val="2"/>
        </w:numPr>
        <w:spacing w:after="120"/>
      </w:pPr>
      <w:r>
        <w:rPr>
          <w:b/>
          <w:bCs/>
          <w:color w:val="1F2937"/>
          <w:sz w:val="22"/>
          <w:szCs w:val="22"/>
        </w:rPr>
        <w:t xml:space="preserve">Het niveau positioneren.</w:t>
      </w:r>
      <w:r>
        <w:rPr>
          <w:color w:val="1F2937"/>
          <w:sz w:val="22"/>
          <w:szCs w:val="22"/>
        </w:rPr>
        <w:t xml:space="preserve"> Advanced werkt anders dan Foundation: geen examen maar credit points in drie competentiegebieden, met een certificeringsopdracht als afsluiting. Deelnemers moeten begrijpen dat deze cursus voorbereidt en niet certificeert. Wees daar expliciet over — zie paragraaf 4.</w:t>
      </w:r>
    </w:p>
    <w:p>
      <w:pPr>
        <w:pStyle w:val="ListParagraph"/>
        <w:numPr>
          <w:ilvl w:val="0"/>
          <w:numId w:val="2"/>
        </w:numPr>
        <w:spacing w:after="120"/>
      </w:pPr>
      <w:r>
        <w:rPr>
          <w:b/>
          <w:bCs/>
          <w:color w:val="1F2937"/>
          <w:sz w:val="22"/>
          <w:szCs w:val="22"/>
        </w:rPr>
        <w:t xml:space="preserve">De casus doorstarten.</w:t>
      </w:r>
      <w:r>
        <w:rPr>
          <w:color w:val="1F2937"/>
          <w:sz w:val="22"/>
          <w:szCs w:val="22"/>
        </w:rPr>
        <w:t xml:space="preserve"> Mutatie 2.0 wordt gebouwd. De verhoging van inzet ten opzichte van niveau 1 is dat er nu code is die de keuzes moet dragen, en dat de vragen daardoor minder ruimte laten.</w:t>
      </w:r>
    </w:p>
    <w:p>
      <w:pPr>
        <w:pStyle w:val="ListParagraph"/>
        <w:numPr>
          <w:ilvl w:val="0"/>
          <w:numId w:val="2"/>
        </w:numPr>
        <w:spacing w:after="120"/>
      </w:pPr>
      <w:r>
        <w:rPr>
          <w:b/>
          <w:bCs/>
          <w:color w:val="1F2937"/>
          <w:sz w:val="22"/>
          <w:szCs w:val="22"/>
        </w:rPr>
        <w:t xml:space="preserve">Het toonverschil zetten.</w:t>
      </w:r>
      <w:r>
        <w:rPr>
          <w:color w:val="1F2937"/>
          <w:sz w:val="22"/>
          <w:szCs w:val="22"/>
        </w:rPr>
        <w:t xml:space="preserve"> Niveau 2 is ambachtelijker en minder beschouwend. Deelnemers die van niveau 1 komen, merken dat aan het aantal werkvormen: er wordt meer gedaan en minder besproken.</w:t>
      </w:r>
    </w:p>
    <w:p>
      <w:pPr>
        <w:spacing w:after="160" w:line="276"/>
      </w:pPr>
      <w:r>
        <w:rPr>
          <w:b/>
          <w:bCs/>
          <w:color w:val="1F2937"/>
          <w:sz w:val="22"/>
          <w:szCs w:val="22"/>
        </w:rPr>
        <w:t xml:space="preserve">Het inhoudelijke risico van dit deel is overtoepassing.</w:t>
      </w:r>
      <w:r>
        <w:rPr>
          <w:color w:val="1F2937"/>
          <w:sz w:val="22"/>
          <w:szCs w:val="22"/>
        </w:rPr>
        <w:t xml:space="preserve"> DDD wekt bekeringsijver. Deelnemers gaan na dit dagdeel bounded contexts zien in systemen die ze niet nodig hebben. Paragraaf 11.7 en opdracht 11.6 bestaan om dat te temperen, en u moet ze niet als bijzaak behandelen — situatie 6 (geen toegang tot domeindeskundigen) is de belangrijkste van het dagdeel, want dat was de situatie van Mutatie 1.0.</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Positionering niveau 2; de casus vanaf sprint 3</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0:10–0:25</w:t>
            </w:r>
          </w:p>
        </w:tc>
        <w:tc>
          <w:tcPr>
            <w:tcW w:type="dxa" w:w="4300"/>
            <w:tcMar>
              <w:top w:type="dxa" w:w="100"/>
              <w:left w:type="dxa" w:w="120"/>
              <w:bottom w:type="dxa" w:w="100"/>
              <w:right w:type="dxa" w:w="120"/>
            </w:tcMar>
            <w:vAlign w:val="center"/>
          </w:tcPr>
          <w:p>
            <w:r>
              <w:rPr>
                <w:b w:val="false"/>
                <w:bCs w:val="false"/>
                <w:color w:val="1F2937"/>
                <w:sz w:val="19"/>
                <w:szCs w:val="19"/>
              </w:rPr>
              <w:t xml:space="preserve">Het partnerprobleem</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4–7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0:25–0:45</w:t>
            </w:r>
          </w:p>
        </w:tc>
        <w:tc>
          <w:tcPr>
            <w:tcW w:type="dxa" w:w="4300"/>
            <w:tcMar>
              <w:top w:type="dxa" w:w="100"/>
              <w:left w:type="dxa" w:w="120"/>
              <w:bottom w:type="dxa" w:w="100"/>
              <w:right w:type="dxa" w:w="120"/>
            </w:tcMar>
            <w:vAlign w:val="center"/>
          </w:tcPr>
          <w:p>
            <w:r>
              <w:rPr>
                <w:b w:val="false"/>
                <w:bCs w:val="false"/>
                <w:color w:val="1F2937"/>
                <w:sz w:val="19"/>
                <w:szCs w:val="19"/>
              </w:rPr>
              <w:t xml:space="preserve">De bounded context; de prijs benoemen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8–11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0:45–1:10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11.1 — het partnerobject ontleden</w:t>
            </w:r>
          </w:p>
        </w:tc>
        <w:tc>
          <w:tcPr>
            <w:tcW w:type="dxa" w:w="2300"/>
            <w:tcMar>
              <w:top w:type="dxa" w:w="100"/>
              <w:left w:type="dxa" w:w="120"/>
              <w:bottom w:type="dxa" w:w="100"/>
              <w:right w:type="dxa" w:w="120"/>
            </w:tcMar>
            <w:vAlign w:val="center"/>
          </w:tcPr>
          <w:p>
            <w:r>
              <w:rPr>
                <w:b w:val="false"/>
                <w:bCs w:val="false"/>
                <w:color w:val="1F2937"/>
                <w:sz w:val="19"/>
                <w:szCs w:val="19"/>
              </w:rPr>
              <w:t xml:space="preserve">individueel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1:10–1:20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1:20–1:35</w:t>
            </w:r>
          </w:p>
        </w:tc>
        <w:tc>
          <w:tcPr>
            <w:tcW w:type="dxa" w:w="4300"/>
            <w:tcMar>
              <w:top w:type="dxa" w:w="100"/>
              <w:left w:type="dxa" w:w="120"/>
              <w:bottom w:type="dxa" w:w="100"/>
              <w:right w:type="dxa" w:w="120"/>
            </w:tcMar>
            <w:vAlign w:val="center"/>
          </w:tcPr>
          <w:p>
            <w:r>
              <w:rPr>
                <w:b w:val="false"/>
                <w:bCs w:val="false"/>
                <w:color w:val="1F2937"/>
                <w:sz w:val="19"/>
                <w:szCs w:val="19"/>
              </w:rPr>
              <w:t xml:space="preserve">Ubiquitous language en taalbreuken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1:35–2:00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11.2 — taalbreuken opsporen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16</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2:00–2:20</w:t>
            </w:r>
          </w:p>
        </w:tc>
        <w:tc>
          <w:tcPr>
            <w:tcW w:type="dxa" w:w="4300"/>
            <w:tcMar>
              <w:top w:type="dxa" w:w="100"/>
              <w:left w:type="dxa" w:w="120"/>
              <w:bottom w:type="dxa" w:w="100"/>
              <w:right w:type="dxa" w:w="120"/>
            </w:tcMar>
            <w:vAlign w:val="center"/>
          </w:tcPr>
          <w:p>
            <w:r>
              <w:rPr>
                <w:b w:val="false"/>
                <w:bCs w:val="false"/>
                <w:color w:val="1F2937"/>
                <w:sz w:val="19"/>
                <w:szCs w:val="19"/>
              </w:rPr>
              <w:t xml:space="preserve">Subdomeinen: kern, ondersteunend, generiek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17–21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2:20–2:30</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2:30–2:55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11.4 — subdomeinen classificeren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2:55–3:15</w:t>
            </w:r>
          </w:p>
        </w:tc>
        <w:tc>
          <w:tcPr>
            <w:tcW w:type="dxa" w:w="4300"/>
            <w:tcMar>
              <w:top w:type="dxa" w:w="100"/>
              <w:left w:type="dxa" w:w="120"/>
              <w:bottom w:type="dxa" w:w="100"/>
              <w:right w:type="dxa" w:w="120"/>
            </w:tcMar>
            <w:vAlign w:val="center"/>
          </w:tcPr>
          <w:p>
            <w:r>
              <w:rPr>
                <w:b w:val="false"/>
                <w:bCs w:val="false"/>
                <w:color w:val="1F2937"/>
                <w:sz w:val="19"/>
                <w:szCs w:val="19"/>
              </w:rPr>
              <w:t xml:space="preserve">De context map en de patronen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23–27</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3:15–3:50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11.5 — de context map tekenen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w:t>
            </w:r>
          </w:p>
        </w:tc>
        <w:tc>
          <w:tcPr>
            <w:tcW w:type="dxa" w:w="1538"/>
            <w:tcMar>
              <w:top w:type="dxa" w:w="100"/>
              <w:left w:type="dxa" w:w="120"/>
              <w:bottom w:type="dxa" w:w="100"/>
              <w:right w:type="dxa" w:w="120"/>
            </w:tcMar>
            <w:vAlign w:val="center"/>
          </w:tcPr>
          <w:p>
            <w:r>
              <w:rPr>
                <w:b w:val="false"/>
                <w:bCs w:val="false"/>
                <w:color w:val="1F2937"/>
                <w:sz w:val="19"/>
                <w:szCs w:val="19"/>
              </w:rPr>
              <w:t xml:space="preserve">28–29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3:50–4:00</w:t>
            </w:r>
          </w:p>
        </w:tc>
        <w:tc>
          <w:tcPr>
            <w:tcW w:type="dxa" w:w="4300"/>
            <w:tcMar>
              <w:top w:type="dxa" w:w="100"/>
              <w:left w:type="dxa" w:w="120"/>
              <w:bottom w:type="dxa" w:w="100"/>
              <w:right w:type="dxa" w:w="120"/>
            </w:tcMar>
            <w:vAlign w:val="center"/>
          </w:tcPr>
          <w:p>
            <w:r>
              <w:rPr>
                <w:b w:val="false"/>
                <w:bCs w:val="false"/>
                <w:color w:val="1F2937"/>
                <w:sz w:val="19"/>
                <w:szCs w:val="19"/>
              </w:rPr>
              <w:t xml:space="preserve">Grenzen vinden; wanneer niet;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30–32</w:t>
            </w:r>
          </w:p>
        </w:tc>
      </w:tr>
    </w:tbl>
    <w:p>
      <w:pPr>
        <w:spacing w:after="300"/>
      </w:pPr>
    </w:p>
    <w:p>
      <w:pPr>
        <w:spacing w:after="160" w:line="276"/>
      </w:pPr>
      <w:r>
        <w:rPr>
          <w:b/>
          <w:bCs/>
          <w:color w:val="1F2937"/>
          <w:sz w:val="22"/>
          <w:szCs w:val="22"/>
        </w:rPr>
        <w:t xml:space="preserve">Opdracht 11.3 (de werksessie) staat niet in deze planning</w:t>
      </w:r>
      <w:r>
        <w:rPr>
          <w:color w:val="1F2937"/>
          <w:sz w:val="22"/>
          <w:szCs w:val="22"/>
        </w:rPr>
        <w:t xml:space="preserve"> en is de belangrijkste keuze van dit deel. Zij duurt een uur en is verreweg de sterkste werkvorm, maar zij vervangt dan opdracht 11.2 én 11.4.</w:t>
      </w:r>
    </w:p>
    <w:p>
      <w:pPr>
        <w:pStyle w:val="ListParagraph"/>
        <w:numPr>
          <w:ilvl w:val="0"/>
          <w:numId w:val="3"/>
        </w:numPr>
        <w:spacing w:after="100"/>
      </w:pPr>
      <w:r>
        <w:rPr>
          <w:b/>
          <w:bCs/>
          <w:color w:val="1F2937"/>
          <w:sz w:val="22"/>
          <w:szCs w:val="22"/>
        </w:rPr>
        <w:t xml:space="preserve">Doe de werksessie</w:t>
      </w:r>
      <w:r>
        <w:rPr>
          <w:color w:val="1F2937"/>
          <w:sz w:val="22"/>
          <w:szCs w:val="22"/>
        </w:rPr>
        <w:t xml:space="preserve"> wanneer u een tweede dagdeel hebt, of wanneer de groep uit een organisatie komt waar dit direct toepasbaar is. De ervaring van een echte sessie is meer waard dan twee papieren opdrachten.</w:t>
      </w:r>
    </w:p>
    <w:p>
      <w:pPr>
        <w:pStyle w:val="ListParagraph"/>
        <w:numPr>
          <w:ilvl w:val="0"/>
          <w:numId w:val="3"/>
        </w:numPr>
        <w:spacing w:after="100"/>
      </w:pPr>
      <w:r>
        <w:rPr>
          <w:b/>
          <w:bCs/>
          <w:color w:val="1F2937"/>
          <w:sz w:val="22"/>
          <w:szCs w:val="22"/>
        </w:rPr>
        <w:t xml:space="preserve">Sla haar over</w:t>
      </w:r>
      <w:r>
        <w:rPr>
          <w:color w:val="1F2937"/>
          <w:sz w:val="22"/>
          <w:szCs w:val="22"/>
        </w:rPr>
        <w:t xml:space="preserve"> bij groepen zonder domeindeskundigen in de zaal — het effect is dan gespeeld en de deelnemers merken dat.</w:t>
      </w:r>
    </w:p>
    <w:p>
      <w:pPr>
        <w:spacing w:after="160" w:line="276"/>
      </w:pPr>
      <w:r>
        <w:rPr>
          <w:b/>
          <w:bCs/>
          <w:color w:val="1F2937"/>
          <w:sz w:val="22"/>
          <w:szCs w:val="22"/>
        </w:rPr>
        <w:t xml:space="preserve">Aanbevolen variant voor bedrijfsgroepen: </w:t>
      </w:r>
      <w:r>
        <w:rPr>
          <w:color w:val="1F2937"/>
          <w:sz w:val="22"/>
          <w:szCs w:val="22"/>
        </w:rPr>
        <w:t xml:space="preserve">twee dagdelen, waarbij het tweede volledig aan de werksessie met echte domeindeskundigen van de klant wordt besteed. Dat is de vorm waarin dit deel het meeste oplevert.</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Positionering van niveau 2 (slide 2)</w:t>
      </w:r>
    </w:p>
    <w:p>
      <w:pPr>
        <w:spacing w:after="160" w:line="276"/>
      </w:pPr>
      <w:r>
        <w:rPr>
          <w:b/>
          <w:bCs/>
          <w:color w:val="1F2937"/>
          <w:sz w:val="22"/>
          <w:szCs w:val="22"/>
        </w:rPr>
        <w:t xml:space="preserve">Wees precies en terughoudend.</w:t>
      </w:r>
      <w:r>
        <w:rPr>
          <w:color w:val="1F2937"/>
          <w:sz w:val="22"/>
          <w:szCs w:val="22"/>
        </w:rPr>
        <w:t xml:space="preserve"> Het modulelandschap, de puntenaantallen en de moduleteksten wijzigen; noem daarom de structuur (drie competentiegebieden, credit points, afsluitende opdracht en interview) en verwijs voor de details naar isaqb.org.</w:t>
      </w:r>
    </w:p>
    <w:p>
      <w:pPr>
        <w:spacing w:after="160" w:line="276"/>
      </w:pPr>
      <w:r>
        <w:rPr>
          <w:b/>
          <w:bCs/>
          <w:color w:val="1F2937"/>
          <w:sz w:val="22"/>
          <w:szCs w:val="22"/>
        </w:rPr>
        <w:t xml:space="preserve">Zeg expliciet dat deze cursus geen credit points oplevert.</w:t>
      </w:r>
      <w:r>
        <w:rPr>
          <w:color w:val="1F2937"/>
          <w:sz w:val="22"/>
          <w:szCs w:val="22"/>
        </w:rPr>
        <w:t xml:space="preserve"> Deelnemers die dat pas in maand vier ontdekken, voelen zich misleid — terecht. Wat wij leveren is inhoudelijke voorbereiding plus de mogelijkheid om gericht te kiezen waar geaccrediteerde training wordt ingekocht. Dat is een eerlijk en waardevol aanbod, mits het zo gebracht wordt.</w:t>
      </w:r>
    </w:p>
    <w:p>
      <w:pPr>
        <w:pStyle w:val="Heading2"/>
        <w:spacing w:after="140" w:before="260"/>
      </w:pPr>
      <w:r>
        <w:rPr>
          <w:b/>
          <w:bCs/>
          <w:color w:val="4A6789"/>
          <w:sz w:val="24"/>
          <w:szCs w:val="24"/>
        </w:rPr>
        <w:t xml:space="preserve">3.2 Het partnerprobleem (slides 4–7)</w:t>
      </w:r>
    </w:p>
    <w:p>
      <w:pPr>
        <w:spacing w:after="160" w:line="276"/>
      </w:pPr>
      <w:r>
        <w:rPr>
          <w:b/>
          <w:bCs/>
          <w:color w:val="1F2937"/>
          <w:sz w:val="22"/>
          <w:szCs w:val="22"/>
        </w:rPr>
        <w:t xml:space="preserve">Bouw het op zoals het gebeurde.</w:t>
      </w:r>
      <w:r>
        <w:rPr>
          <w:color w:val="1F2937"/>
          <w:sz w:val="22"/>
          <w:szCs w:val="22"/>
        </w:rPr>
        <w:t xml:space="preserve"> Vertel eerst dat het team scheidingsmutaties bouwde. Toon dan de vier definities één voor één, en laat de groep de spanning zelf voelen. Toon pas daarna slide 6 met de 31 velden.</w:t>
      </w:r>
    </w:p>
    <w:p>
      <w:pPr>
        <w:spacing w:after="160" w:line="276"/>
      </w:pPr>
      <w:r>
        <w:rPr>
          <w:b/>
          <w:bCs/>
          <w:color w:val="1F2937"/>
          <w:sz w:val="22"/>
          <w:szCs w:val="22"/>
        </w:rPr>
        <w:t xml:space="preserve">Slide 7 is de framing die het hele dagdeel draagt: </w:t>
      </w:r>
      <w:r>
        <w:rPr>
          <w:color w:val="1F2937"/>
          <w:sz w:val="22"/>
          <w:szCs w:val="22"/>
        </w:rPr>
        <w:t xml:space="preserve">dit is niet een fout van dit team, het is de standaardfout. Deelnemers die denken dat het team onhandig was, leren minder dan deelnemers die herkennen dat zij het zelf ook zo zouden hebben gedaan.</w:t>
      </w:r>
    </w:p>
    <w:p>
      <w:pPr>
        <w:spacing w:after="160" w:line="276"/>
      </w:pPr>
      <w:r>
        <w:rPr>
          <w:color w:val="1F2937"/>
          <w:sz w:val="22"/>
          <w:szCs w:val="22"/>
        </w:rPr>
        <w:t xml:space="preserve">Vraag: wie heeft in zijn eigen systeem een object van meer dan twintig velden waarvan er per gebruik zes relevant zijn? Vrijwel iedereen.</w:t>
      </w:r>
    </w:p>
    <w:p>
      <w:pPr>
        <w:pStyle w:val="Heading2"/>
        <w:spacing w:after="140" w:before="260"/>
      </w:pPr>
      <w:r>
        <w:rPr>
          <w:b/>
          <w:bCs/>
          <w:color w:val="4A6789"/>
          <w:sz w:val="24"/>
          <w:szCs w:val="24"/>
        </w:rPr>
        <w:t xml:space="preserve">3.3 De bounded context (slides 8–12)</w:t>
      </w:r>
    </w:p>
    <w:p>
      <w:pPr>
        <w:spacing w:after="160" w:line="276"/>
      </w:pPr>
      <w:r>
        <w:rPr>
          <w:b/>
          <w:bCs/>
          <w:color w:val="1F2937"/>
          <w:sz w:val="22"/>
          <w:szCs w:val="22"/>
        </w:rPr>
        <w:t xml:space="preserve">Slide 9 bevat de omkering</w:t>
      </w:r>
      <w:r>
        <w:rPr>
          <w:color w:val="1F2937"/>
          <w:sz w:val="22"/>
          <w:szCs w:val="22"/>
        </w:rPr>
        <w:t xml:space="preserve"> die modelleurs moeilijk vinden: niet één model voor de organisatie, maar meerdere met grenzen. Verwacht weerstand van deelnemers met een gegevensmodelleringsachtergrond — voor hen is één canoniek model jarenlang het doel geweest.</w:t>
      </w:r>
    </w:p>
    <w:p>
      <w:pPr>
        <w:spacing w:after="160" w:line="276"/>
      </w:pPr>
      <w:r>
        <w:rPr>
          <w:color w:val="1F2937"/>
          <w:sz w:val="22"/>
          <w:szCs w:val="22"/>
        </w:rPr>
        <w:t xml:space="preserve">Het argument dat werkt is niet theoretisch maar het object van 31 velden: dat objéct is wat er ontstaat als u één model afdwingt. Het canonieke model is niet mislukt door slechte uitvoering; het is de voorspelbare uitkomst.</w:t>
      </w:r>
    </w:p>
    <w:p>
      <w:pPr>
        <w:spacing w:after="160" w:line="276"/>
      </w:pPr>
      <w:r>
        <w:rPr>
          <w:b/>
          <w:bCs/>
          <w:color w:val="1F2937"/>
          <w:sz w:val="22"/>
          <w:szCs w:val="22"/>
        </w:rPr>
        <w:t xml:space="preserve">Slide 11 (de prijs) niet overslaan.</w:t>
      </w:r>
      <w:r>
        <w:rPr>
          <w:color w:val="1F2937"/>
          <w:sz w:val="22"/>
          <w:szCs w:val="22"/>
        </w:rPr>
        <w:t xml:space="preserve"> DDD-enthousiasme slaat door als de kosten onbenoemd blijven. Verbind expliciet met deel 3: duplicatie is goedkoper dan de verkeerde abstractie — en het verschil met sprint 4 is dat deze duplicatie bewust en van vertaling voorzien is.</w:t>
      </w:r>
    </w:p>
    <w:p>
      <w:pPr>
        <w:spacing w:after="160" w:line="276"/>
      </w:pPr>
      <w:r>
        <w:rPr>
          <w:b/>
          <w:bCs/>
          <w:color w:val="1F2937"/>
          <w:sz w:val="22"/>
          <w:szCs w:val="22"/>
        </w:rPr>
        <w:t xml:space="preserve">Opdracht 11.1: </w:t>
      </w:r>
      <w:r>
        <w:rPr>
          <w:color w:val="1F2937"/>
          <w:sz w:val="22"/>
          <w:szCs w:val="22"/>
        </w:rPr>
        <w:t xml:space="preserve">15 minuten individueel, 10 plenair. Bespreek b), en daarbinnen vooral partnerStatus en actief. Drie betekenissen achter één veldnaam is semantische koppeling in zuiverste vorm, en het is de brug terug naar deel 8 van niveau 1.</w:t>
      </w:r>
    </w:p>
    <w:p>
      <w:pPr>
        <w:pStyle w:val="Heading2"/>
        <w:spacing w:after="140" w:before="260"/>
      </w:pPr>
      <w:r>
        <w:rPr>
          <w:b/>
          <w:bCs/>
          <w:color w:val="4A6789"/>
          <w:sz w:val="24"/>
          <w:szCs w:val="24"/>
        </w:rPr>
        <w:t xml:space="preserve">3.4 Ubiquitous language (slides 13–16)</w:t>
      </w:r>
    </w:p>
    <w:p>
      <w:pPr>
        <w:spacing w:after="160" w:line="276"/>
      </w:pPr>
      <w:r>
        <w:rPr>
          <w:b/>
          <w:bCs/>
          <w:color w:val="1F2937"/>
          <w:sz w:val="22"/>
          <w:szCs w:val="22"/>
        </w:rPr>
        <w:t xml:space="preserve">Slide 15 is de bruikbaarste heuristiek van het deel.</w:t>
      </w:r>
      <w:r>
        <w:rPr>
          <w:color w:val="1F2937"/>
          <w:sz w:val="22"/>
          <w:szCs w:val="22"/>
        </w:rPr>
        <w:t xml:space="preserve"> "Ja, maar in dat geval bedoelen we…" is een grenssignaal. Laat de groep bedenken hoe vaak zij die zin horen — bij domeinexperts is het antwoord: dagelijks.</w:t>
      </w:r>
    </w:p>
    <w:p>
      <w:pPr>
        <w:spacing w:after="160" w:line="276"/>
      </w:pPr>
      <w:r>
        <w:rPr>
          <w:b/>
          <w:bCs/>
          <w:color w:val="1F2937"/>
          <w:sz w:val="22"/>
          <w:szCs w:val="22"/>
        </w:rPr>
        <w:t xml:space="preserve">Opdracht 11.2: </w:t>
      </w:r>
      <w:r>
        <w:rPr>
          <w:color w:val="1F2937"/>
          <w:sz w:val="22"/>
          <w:szCs w:val="22"/>
        </w:rPr>
        <w:t xml:space="preserve">het woord verwerkt is de mooiste vondst (drie deskundigen, drie momenten waarop het waar is). Als groepen het niet vinden, wijs erop.</w:t>
      </w:r>
    </w:p>
    <w:p>
      <w:pPr>
        <w:spacing w:after="160" w:line="276"/>
      </w:pPr>
      <w:r>
        <w:rPr>
          <w:b/>
          <w:bCs/>
          <w:color w:val="1F2937"/>
          <w:sz w:val="22"/>
          <w:szCs w:val="22"/>
        </w:rPr>
        <w:t xml:space="preserve">Valkuil: </w:t>
      </w:r>
      <w:r>
        <w:rPr>
          <w:color w:val="1F2937"/>
          <w:sz w:val="22"/>
          <w:szCs w:val="22"/>
        </w:rPr>
        <w:t xml:space="preserve">deelnemers willen de ubiquitous language vastleggen als een woordenlijst en klaar. Corrigeer: de lijst is de neerslag, de taal is de praktijk. Een lijst die niet in gesprekken en in code terugkomt, is dood binnen een kwartaal.</w:t>
      </w:r>
    </w:p>
    <w:p>
      <w:pPr>
        <w:pStyle w:val="Heading2"/>
        <w:spacing w:after="140" w:before="260"/>
      </w:pPr>
      <w:r>
        <w:rPr>
          <w:b/>
          <w:bCs/>
          <w:color w:val="4A6789"/>
          <w:sz w:val="24"/>
          <w:szCs w:val="24"/>
        </w:rPr>
        <w:t xml:space="preserve">3.5 Subdomeinen (slides 17–22)</w:t>
      </w:r>
    </w:p>
    <w:p>
      <w:pPr>
        <w:spacing w:after="160" w:line="276"/>
      </w:pPr>
      <w:r>
        <w:rPr>
          <w:b/>
          <w:bCs/>
          <w:color w:val="1F2937"/>
          <w:sz w:val="22"/>
          <w:szCs w:val="22"/>
        </w:rPr>
        <w:t xml:space="preserve">Dit blok is voor architecten in adviesrollen het waardevolst,</w:t>
      </w:r>
      <w:r>
        <w:rPr>
          <w:color w:val="1F2937"/>
          <w:sz w:val="22"/>
          <w:szCs w:val="22"/>
        </w:rPr>
        <w:t xml:space="preserve"> want de classificatie is een investeringsargument dat in een stuurgroep werkt.</w:t>
      </w:r>
    </w:p>
    <w:p>
      <w:pPr>
        <w:spacing w:after="160" w:line="276"/>
      </w:pPr>
      <w:r>
        <w:rPr>
          <w:b/>
          <w:bCs/>
          <w:color w:val="1F2937"/>
          <w:sz w:val="22"/>
          <w:szCs w:val="22"/>
        </w:rPr>
        <w:t xml:space="preserve">Slide 20 is de scherpste zin: </w:t>
      </w:r>
      <w:r>
        <w:rPr>
          <w:color w:val="1F2937"/>
          <w:sz w:val="22"/>
          <w:szCs w:val="22"/>
        </w:rPr>
        <w:t xml:space="preserve">in Mutatie 1.0 ging capaciteit naar wat generiek was terwijl het kerndomein nooit is gebouwd. Zelf bouwen wat u kon kopen, en niet bouwen wat uw vak is.</w:t>
      </w:r>
    </w:p>
    <w:p>
      <w:pPr>
        <w:spacing w:after="160" w:line="276"/>
      </w:pPr>
      <w:r>
        <w:rPr>
          <w:b/>
          <w:bCs/>
          <w:color w:val="1F2937"/>
          <w:sz w:val="22"/>
          <w:szCs w:val="22"/>
        </w:rPr>
        <w:t xml:space="preserve">Opdracht 11.4, twee interventies:</w:t>
      </w:r>
      <w:r>
        <w:rPr>
          <w:color w:val="1F2937"/>
          <w:sz w:val="22"/>
          <w:szCs w:val="22"/>
        </w:rPr>
        <w:t xml:space="preserve"/>
      </w:r>
    </w:p>
    <w:p>
      <w:pPr>
        <w:pStyle w:val="ListParagraph"/>
        <w:numPr>
          <w:ilvl w:val="0"/>
          <w:numId w:val="4"/>
        </w:numPr>
        <w:spacing w:after="120"/>
      </w:pPr>
      <w:r>
        <w:rPr>
          <w:b/>
          <w:bCs/>
          <w:color w:val="1F2937"/>
          <w:sz w:val="22"/>
          <w:szCs w:val="22"/>
        </w:rPr>
        <w:t xml:space="preserve">Alles wordt kern.</w:t>
      </w:r>
      <w:r>
        <w:rPr>
          <w:color w:val="1F2937"/>
          <w:sz w:val="22"/>
          <w:szCs w:val="22"/>
        </w:rPr>
        <w:t xml:space="preserve"> Standaard. Pas de toets van slide 21 toe; werkgeversaanlevering en correspondentie schuiven dan doorgaans.</w:t>
      </w:r>
    </w:p>
    <w:p>
      <w:pPr>
        <w:pStyle w:val="ListParagraph"/>
        <w:numPr>
          <w:ilvl w:val="0"/>
          <w:numId w:val="4"/>
        </w:numPr>
        <w:spacing w:after="120"/>
      </w:pPr>
      <w:r>
        <w:rPr>
          <w:b/>
          <w:bCs/>
          <w:color w:val="1F2937"/>
          <w:sz w:val="22"/>
          <w:szCs w:val="22"/>
        </w:rPr>
        <w:t xml:space="preserve">Onderdeel e) wordt te makkelijk beantwoord.</w:t>
      </w:r>
      <w:r>
        <w:rPr>
          <w:color w:val="1F2937"/>
          <w:sz w:val="22"/>
          <w:szCs w:val="22"/>
        </w:rPr>
        <w:t xml:space="preserve"> Toegangsbeheer is generiek, dus kopen — maar de functiescheidingsregel uit deel 6 en 8 vereist kennis van de dossierhistorie, en die heeft een generiek product niet. Het juiste antwoord is splitsen: koop identiteit en rollen, houd functiescheiding in het kerndomein. Groepen die dat niet zien, maken de klassieke pakketkeuzefout, en dat is een van de nuttigste inzichten van het dagdeel.</w:t>
      </w:r>
    </w:p>
    <w:p>
      <w:pPr>
        <w:pStyle w:val="Heading2"/>
        <w:spacing w:after="140" w:before="260"/>
      </w:pPr>
      <w:r>
        <w:rPr>
          <w:b/>
          <w:bCs/>
          <w:color w:val="4A6789"/>
          <w:sz w:val="24"/>
          <w:szCs w:val="24"/>
        </w:rPr>
        <w:t xml:space="preserve">3.6 De context map (slides 23–29)</w:t>
      </w:r>
    </w:p>
    <w:p>
      <w:pPr>
        <w:spacing w:after="160" w:line="276"/>
      </w:pPr>
      <w:r>
        <w:rPr>
          <w:b/>
          <w:bCs/>
          <w:color w:val="1F2937"/>
          <w:sz w:val="22"/>
          <w:szCs w:val="22"/>
        </w:rPr>
        <w:t xml:space="preserve">Slide 24: benadruk dat de patronen machtsverhoudingen beschrijven.</w:t>
      </w:r>
      <w:r>
        <w:rPr>
          <w:color w:val="1F2937"/>
          <w:sz w:val="22"/>
          <w:szCs w:val="22"/>
        </w:rPr>
        <w:t xml:space="preserve"> Dit is wat de context map onderscheidt van een gewoon integratiediagram, en het is bij integratieprojecten vaak beslissender dan de techniek.</w:t>
      </w:r>
    </w:p>
    <w:p>
      <w:pPr>
        <w:spacing w:after="160" w:line="276"/>
      </w:pPr>
      <w:r>
        <w:rPr>
          <w:b/>
          <w:bCs/>
          <w:color w:val="1F2937"/>
          <w:sz w:val="22"/>
          <w:szCs w:val="22"/>
        </w:rPr>
        <w:t xml:space="preserve">Slide 26 is het beste moment van het dagdeel: </w:t>
      </w:r>
      <w:r>
        <w:rPr>
          <w:color w:val="1F2937"/>
          <w:sz w:val="22"/>
          <w:szCs w:val="22"/>
        </w:rPr>
        <w:t xml:space="preserve">het contract dat de groep in niveau 1 zelf schreef, blijkt een anticorruption layer. Dat is dezelfde didactische zet als bij de aangedreven poort in deel 4, en zij werkt om dezelfde reden — de deelnemer herkent zijn eigen werk in de theorie in plaats van andersom.</w:t>
      </w:r>
    </w:p>
    <w:p>
      <w:pPr>
        <w:spacing w:after="160" w:line="276"/>
      </w:pPr>
      <w:r>
        <w:rPr>
          <w:b/>
          <w:bCs/>
          <w:color w:val="1F2937"/>
          <w:sz w:val="22"/>
          <w:szCs w:val="22"/>
        </w:rPr>
        <w:t xml:space="preserve">Opdracht 11.5, plenair alleen c) en e).</w:t>
      </w:r>
      <w:r>
        <w:rPr>
          <w:color w:val="1F2937"/>
          <w:sz w:val="22"/>
          <w:szCs w:val="22"/>
        </w:rPr>
        <w:t xml:space="preserve"/>
      </w:r>
    </w:p>
    <w:p>
      <w:pPr>
        <w:spacing w:after="160" w:line="276"/>
      </w:pPr>
      <w:r>
        <w:rPr>
          <w:b/>
          <w:bCs/>
          <w:color w:val="1F2937"/>
          <w:sz w:val="22"/>
          <w:szCs w:val="22"/>
        </w:rPr>
        <w:t xml:space="preserve">Onderdeel e) is de belangrijkste conclusie van het deel: </w:t>
      </w:r>
      <w:r>
        <w:rPr>
          <w:color w:val="1F2937"/>
          <w:sz w:val="22"/>
          <w:szCs w:val="22"/>
        </w:rPr>
        <w:t xml:space="preserve">contexten en modules vallen niet samen, en dat is normaal. Een bounded context bevat één of meer modules; een module hoort bij precies één context. Bedient een module er twee, dan is er een grens gemist — en dat is exact wat het partnerobject deed. Zorg dat deze regel op het bord komt.</w:t>
      </w:r>
    </w:p>
    <w:p>
      <w:pPr>
        <w:pStyle w:val="Heading2"/>
        <w:spacing w:after="140" w:before="260"/>
      </w:pPr>
      <w:r>
        <w:rPr>
          <w:b/>
          <w:bCs/>
          <w:color w:val="4A6789"/>
          <w:sz w:val="24"/>
          <w:szCs w:val="24"/>
        </w:rPr>
        <w:t xml:space="preserve">3.7 Grenzen vinden en de begrenzing (slides 30–31)</w:t>
      </w:r>
    </w:p>
    <w:p>
      <w:pPr>
        <w:spacing w:after="160" w:line="276"/>
      </w:pPr>
      <w:r>
        <w:rPr>
          <w:b/>
          <w:bCs/>
          <w:color w:val="1F2937"/>
          <w:sz w:val="22"/>
          <w:szCs w:val="22"/>
        </w:rPr>
        <w:t xml:space="preserve">Slide 30: </w:t>
      </w:r>
      <w:r>
        <w:rPr>
          <w:color w:val="1F2937"/>
          <w:sz w:val="22"/>
          <w:szCs w:val="22"/>
        </w:rPr>
        <w:t xml:space="preserve">wat u níét gebruikt is belangrijker dan wat u wel gebruikt. Wie zijn contexten uit het bestaande landschap afleidt, herhaalt de indeling die hij wilde verbeteren.</w:t>
      </w:r>
    </w:p>
    <w:p>
      <w:pPr>
        <w:spacing w:after="160" w:line="276"/>
      </w:pPr>
      <w:r>
        <w:rPr>
          <w:b/>
          <w:bCs/>
          <w:color w:val="1F2937"/>
          <w:sz w:val="22"/>
          <w:szCs w:val="22"/>
        </w:rPr>
        <w:t xml:space="preserve">Slide 31 mag niet snel.</w:t>
      </w:r>
      <w:r>
        <w:rPr>
          <w:color w:val="1F2937"/>
          <w:sz w:val="22"/>
          <w:szCs w:val="22"/>
        </w:rPr>
        <w:t xml:space="preserve"> Dit is het tegengif tegen bekeringsijver. Situatie 6 uit opdracht 11.6 — geen toegang tot domeindeskundigen — was de situatie van Mutatie 1.0, en wie in die situatie DDD voorschrijft, verergert het probleem: precieze domeinnamen boven onnauwkeurige modellen zijn misleidender dan neutrale techniektaal.</w:t>
      </w:r>
    </w:p>
    <w:p>
      <w:pPr>
        <w:spacing w:after="160" w:line="276"/>
      </w:pPr>
      <w:r>
        <w:rPr>
          <w:color w:val="1F2937"/>
          <w:sz w:val="22"/>
          <w:szCs w:val="22"/>
        </w:rPr>
        <w:t xml:space="preserve">Als u opdracht 11.6 niet doet, behandel dan minstens situatie 5 en 6 plenair.</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"Wij hebben een canoniek gegevensmodel."</w:t>
      </w:r>
      <w:r>
        <w:rPr>
          <w:color w:val="1F2937"/>
          <w:sz w:val="22"/>
          <w:szCs w:val="22"/>
        </w:rPr>
        <w:t xml:space="preserve"> Veelvoorkomend in deze sector en het verdient respect: canonieke modellen zijn ontstaan uit een echt probleem, namelijk onbeheerste puntkoppelingen. Ga er niet frontaal tegenin.</w:t>
      </w:r>
    </w:p>
    <w:p>
      <w:pPr>
        <w:spacing w:after="160" w:line="276"/>
      </w:pPr>
      <w:r>
        <w:rPr>
          <w:color w:val="1F2937"/>
          <w:sz w:val="22"/>
          <w:szCs w:val="22"/>
        </w:rPr>
        <w:t xml:space="preserve">De bruikbare vraag: hoeveel velden heeft uw canonieke klantobject, en hoeveel zijn er per gebruik relevant? Het antwoord maakt het punt. Voeg toe dat een canoniek model uitstekend werkt als uitwisselingstaal tussen contexten (published language) en slecht als intern model binnen elke context. Dat onderscheid redt het gesprek en het is bovendien juist.</w:t>
      </w:r>
    </w:p>
    <w:p>
      <w:pPr>
        <w:spacing w:after="160" w:line="276"/>
      </w:pPr>
      <w:r>
        <w:rPr>
          <w:b/>
          <w:bCs/>
          <w:color w:val="1F2937"/>
          <w:sz w:val="22"/>
          <w:szCs w:val="22"/>
        </w:rPr>
        <w:t xml:space="preserve">"Dit is toch gewoon modulariteit met dure woorden?"</w:t>
      </w:r>
      <w:r>
        <w:rPr>
          <w:color w:val="1F2937"/>
          <w:sz w:val="22"/>
          <w:szCs w:val="22"/>
        </w:rPr>
        <w:t xml:space="preserve"> Deels terecht en zeg dat. Het verschil is dat modulariteit over structuur gaat en DDD over betekenis: twee modules kunnen keurig gescheiden zijn en toch hetzelfde woord verschillend gebruiken. Het partnerobject was structureel netjes ondergebracht.</w:t>
      </w:r>
    </w:p>
    <w:p>
      <w:pPr>
        <w:spacing w:after="160" w:line="276"/>
      </w:pPr>
      <w:r>
        <w:rPr>
          <w:b/>
          <w:bCs/>
          <w:color w:val="1F2937"/>
          <w:sz w:val="22"/>
          <w:szCs w:val="22"/>
        </w:rPr>
        <w:t xml:space="preserve">Een deelnemer heeft een mislukt DDD-traject meegemaakt.</w:t>
      </w:r>
      <w:r>
        <w:rPr>
          <w:color w:val="1F2937"/>
          <w:sz w:val="22"/>
          <w:szCs w:val="22"/>
        </w:rPr>
        <w:t xml:space="preserve"> Komt regelmatig voor. Vraag door naar de omstandigheden; in vrijwel alle gevallen blijkt een van de vier situaties uit paragraaf 11.7 van toepassing — meestal ontbrekende domeindeskundigen of ontbrekend uithoudingsvermogen. Dat gesprek is waardevoller dan uw uitleg en het bevestigt de begrenzing.</w:t>
      </w:r>
    </w:p>
    <w:p>
      <w:pPr>
        <w:spacing w:after="160" w:line="276"/>
      </w:pPr>
      <w:r>
        <w:rPr>
          <w:b/>
          <w:bCs/>
          <w:color w:val="1F2937"/>
          <w:sz w:val="22"/>
          <w:szCs w:val="22"/>
        </w:rPr>
        <w:t xml:space="preserve">De groep wil naar aggregaten en entiteiten.</w:t>
      </w:r>
      <w:r>
        <w:rPr>
          <w:color w:val="1F2937"/>
          <w:sz w:val="22"/>
          <w:szCs w:val="22"/>
        </w:rPr>
        <w:t xml:space="preserve"> Dat is deel 12. Parkeer met de formulering: vandaag bepalen we waar de grenzen liggen; volgende keer wat er binnen die grenzen staat. Wie met aggregaten begint voordat de contexten staan, modelleert in de verkeerde volgorde — en dat is de meest voorkomende DDD-fout.</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5"/>
        </w:numPr>
        <w:spacing w:after="120"/>
      </w:pPr>
      <w:r>
        <w:rPr>
          <w:color w:val="1F2937"/>
          <w:sz w:val="22"/>
          <w:szCs w:val="22"/>
        </w:rPr>
        <w:t xml:space="preserve">Wie trekt contexten langs de bestaande systeemgrenzen? Herhaalt de indeling die hij wilde verbeteren; let hierop in deel 12 en 13.</w:t>
      </w:r>
    </w:p>
    <w:p>
      <w:pPr>
        <w:pStyle w:val="ListParagraph"/>
        <w:numPr>
          <w:ilvl w:val="0"/>
          <w:numId w:val="5"/>
        </w:numPr>
        <w:spacing w:after="120"/>
      </w:pPr>
      <w:r>
        <w:rPr>
          <w:color w:val="1F2937"/>
          <w:sz w:val="22"/>
          <w:szCs w:val="22"/>
        </w:rPr>
        <w:t xml:space="preserve">Wie classificeert alles als kern? Kan niet prioriteren in investeringen — dit is dezelfde deelnemer die in niveau 1 alles op belang H scoorde.</w:t>
      </w:r>
    </w:p>
    <w:p>
      <w:pPr>
        <w:pStyle w:val="ListParagraph"/>
        <w:numPr>
          <w:ilvl w:val="0"/>
          <w:numId w:val="5"/>
        </w:numPr>
        <w:spacing w:after="120"/>
      </w:pPr>
      <w:r>
        <w:rPr>
          <w:color w:val="1F2937"/>
          <w:sz w:val="22"/>
          <w:szCs w:val="22"/>
        </w:rPr>
        <w:t xml:space="preserve">Wie legt de ubiquitous language vast als woordenlijst en beschouwt hem daarmee als geregeld? Mist dat de taal een praktijk is; dit wreekt zich in deel 12, waar de code de taal moet dragen.</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11</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AA: het partnerobject van 31 velden, met per veld het gebruik</w:t>
      </w:r>
    </w:p>
    <w:p>
      <w:pPr>
        <w:pStyle w:val="ListParagraph"/>
        <w:numPr>
          <w:ilvl w:val="0"/>
          <w:numId w:val="3"/>
        </w:numPr>
        <w:spacing w:after="100"/>
      </w:pPr>
      <w:r>
        <w:rPr>
          <w:color w:val="1F2937"/>
          <w:sz w:val="22"/>
          <w:szCs w:val="22"/>
        </w:rPr>
        <w:t xml:space="preserve">Bijlage AB: vier gespreksverslagen met domeindeskundigen</w:t>
      </w:r>
    </w:p>
    <w:p>
      <w:pPr>
        <w:pStyle w:val="ListParagraph"/>
        <w:numPr>
          <w:ilvl w:val="0"/>
          <w:numId w:val="3"/>
        </w:numPr>
        <w:spacing w:after="100"/>
      </w:pPr>
      <w:r>
        <w:rPr>
          <w:color w:val="1F2937"/>
          <w:sz w:val="22"/>
          <w:szCs w:val="22"/>
        </w:rPr>
        <w:t xml:space="preserve">Bijlage AC: het reglementaire partnerbegrip van drie werkgevers, met verschillen</w:t>
      </w:r>
    </w:p>
    <w:p>
      <w:pPr>
        <w:pStyle w:val="ListParagraph"/>
        <w:numPr>
          <w:ilvl w:val="0"/>
          <w:numId w:val="3"/>
        </w:numPr>
        <w:spacing w:after="100"/>
      </w:pPr>
      <w:r>
        <w:rPr>
          <w:color w:val="1F2937"/>
          <w:sz w:val="22"/>
          <w:szCs w:val="22"/>
        </w:rPr>
        <w:t xml:space="preserve">Bijlage AD: 60 gebeurteniskaartjes voor de werksessie, ongeordend</w:t>
      </w:r>
    </w:p>
    <w:p>
      <w:pPr>
        <w:pStyle w:val="ListParagraph"/>
        <w:numPr>
          <w:ilvl w:val="0"/>
          <w:numId w:val="3"/>
        </w:numPr>
        <w:spacing w:after="100"/>
      </w:pPr>
      <w:r>
        <w:rPr>
          <w:color w:val="1F2937"/>
          <w:sz w:val="22"/>
          <w:szCs w:val="22"/>
        </w:rPr>
        <w:t xml:space="preserve">Voor de werksessie: een lange muur of tafel, plakbriefjes in drie kleuren, markeerstiften. De ruimte moet staand werken toelaten — zittend werkt deze vorm niet</w:t>
      </w:r>
    </w:p>
    <w:p>
      <w:pPr>
        <w:pStyle w:val="ListParagraph"/>
        <w:numPr>
          <w:ilvl w:val="0"/>
          <w:numId w:val="3"/>
        </w:numPr>
        <w:spacing w:after="100"/>
      </w:pPr>
      <w:r>
        <w:rPr>
          <w:color w:val="1F2937"/>
          <w:sz w:val="22"/>
          <w:szCs w:val="22"/>
        </w:rPr>
        <w:t xml:space="preserve">De modulith-indeling en C4-diagrammen uit niveau 1; deelnemers hebben ze nodig bij opdracht 11.5e</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12 behandelt tactisch DDD — entiteiten, waardeobjecten, aggregaten, domeinservices — en verbindt dat met de modulith uit deel 5. De brug: vandaag hebben we bepaald waar de grenzen liggen. Volgende keer kijken we binnen één grens: wat is een entiteit, wat een waarde, en waar liggen de transactiegrenzen? Dat laatste is de vraag waarop uw modulith staat of valt, want een aggregaat is precies de eenheid waarin consistentie gegarandeerd wordt.</w:t>
      </w:r>
    </w:p>
    <w:p>
      <w:pPr>
        <w:pBdr>
          <w:top w:val="single" w:color="E5E7EB" w:sz="4" w:space="8"/>
        </w:pBdr>
        <w:spacing w:before="400"/>
        <w:jc w:val="center"/>
      </w:pPr>
      <w:r>
        <w:rPr>
          <w:i/>
          <w:iCs/>
          <w:color w:val="6B7280"/>
          <w:sz w:val="17"/>
          <w:szCs w:val="17"/>
        </w:rPr>
        <w:t xml:space="preserve">Ductus B.V. · Cursus Softwarearchitectuur · Niveau 2, deel 11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2026-08-17T14:49:21.983Z</dcterms:created>
  <dcterms:modified xsi:type="dcterms:W3CDTF">2026-08-17T14:49:21.985Z</dcterms:modified>
</cp:coreProperties>
</file>

<file path=docProps/custom.xml><?xml version="1.0" encoding="utf-8"?>
<Properties xmlns="http://schemas.openxmlformats.org/officeDocument/2006/custom-properties" xmlns:vt="http://schemas.openxmlformats.org/officeDocument/2006/docPropsVTypes"/>
</file>