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11 — Strategisch domeingedreven ontwerp</w:t>
      </w:r>
    </w:p>
    <w:p>
      <w:pPr>
        <w:spacing w:after="200"/>
      </w:pPr>
      <w:r>
        <w:rPr>
          <w:b/>
          <w:bCs/>
          <w:color w:val="4A6789"/>
          <w:sz w:val="26"/>
          <w:szCs w:val="26"/>
        </w:rPr>
        <w:t xml:space="preserve">Werkboek met opdrachten</w:t>
      </w:r>
    </w:p>
    <w:p>
      <w:pPr>
        <w:spacing w:after="400"/>
      </w:pPr>
      <w:r>
        <w:rPr>
          <w:color w:val="6B7280"/>
          <w:sz w:val="20"/>
          <w:szCs w:val="20"/>
        </w:rPr>
        <w:t xml:space="preserve">Cursus Softwarearchitectuur · Niveau 2 (CPSA-A) · Deel 11 van 28</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AA: het partnerobject van eenendertig velden zoals het team het in sprint 3 had gebouwd, met per veld het gebruik</w:t>
      </w:r>
    </w:p>
    <w:p>
      <w:pPr>
        <w:pStyle w:val="ListParagraph"/>
        <w:numPr>
          <w:ilvl w:val="0"/>
          <w:numId w:val="2"/>
        </w:numPr>
        <w:spacing w:after="100"/>
      </w:pPr>
      <w:r>
        <w:rPr>
          <w:color w:val="1F2937"/>
          <w:sz w:val="22"/>
          <w:szCs w:val="22"/>
        </w:rPr>
        <w:t xml:space="preserve">Bijlage AB: vier gespreksverslagen met domeindeskundigen — mutatiebehandelaar, actuaris, correspondentiecoördinator, compliance officer</w:t>
      </w:r>
    </w:p>
    <w:p>
      <w:pPr>
        <w:pStyle w:val="ListParagraph"/>
        <w:numPr>
          <w:ilvl w:val="0"/>
          <w:numId w:val="2"/>
        </w:numPr>
        <w:spacing w:after="100"/>
      </w:pPr>
      <w:r>
        <w:rPr>
          <w:color w:val="1F2937"/>
          <w:sz w:val="22"/>
          <w:szCs w:val="22"/>
        </w:rPr>
        <w:t xml:space="preserve">Bijlage AC: het reglementaire partnerbegrip van drie werkgevers, met hun verschillen</w:t>
      </w:r>
    </w:p>
    <w:p>
      <w:pPr>
        <w:pStyle w:val="ListParagraph"/>
        <w:numPr>
          <w:ilvl w:val="0"/>
          <w:numId w:val="2"/>
        </w:numPr>
        <w:spacing w:after="100"/>
      </w:pPr>
      <w:r>
        <w:rPr>
          <w:color w:val="1F2937"/>
          <w:sz w:val="22"/>
          <w:szCs w:val="22"/>
        </w:rPr>
        <w:t xml:space="preserve">Bijlage AD: gebeurtenissenlijst voor de werksessie in opdracht 11.3 (ongeordend, 60 kaartjes)</w:t>
      </w:r>
    </w:p>
    <w:p>
      <w:pPr>
        <w:pStyle w:val="ListParagraph"/>
        <w:numPr>
          <w:ilvl w:val="0"/>
          <w:numId w:val="2"/>
        </w:numPr>
        <w:spacing w:after="100"/>
      </w:pPr>
      <w:r>
        <w:rPr>
          <w:color w:val="1F2937"/>
          <w:sz w:val="22"/>
          <w:szCs w:val="22"/>
        </w:rPr>
        <w:t xml:space="preserve">Uw arc42-opzet en C4-diagrammen uit niveau 1</w:t>
      </w:r>
    </w:p>
    <w:p>
      <w:pPr>
        <w:pStyle w:val="Heading1"/>
        <w:pBdr>
          <w:bottom w:val="single" w:color="E5E7EB" w:sz="6" w:space="6"/>
        </w:pBdr>
        <w:spacing w:after="180" w:before="380"/>
      </w:pPr>
      <w:r>
        <w:rPr>
          <w:b/>
          <w:bCs/>
          <w:color w:val="1F3A5F"/>
          <w:sz w:val="30"/>
          <w:szCs w:val="30"/>
        </w:rPr>
        <w:t xml:space="preserve">Opdracht 11.1 — Het partnerobject ontleden (individueel, 25 minuten)</w:t>
      </w:r>
    </w:p>
    <w:p>
      <w:pPr>
        <w:spacing w:after="160" w:line="276"/>
      </w:pPr>
      <w:r>
        <w:rPr>
          <w:color w:val="1F2937"/>
          <w:sz w:val="22"/>
          <w:szCs w:val="22"/>
        </w:rPr>
        <w:t xml:space="preserve">Bijlage AA bevat het object van eenendertig velden.</w:t>
      </w:r>
    </w:p>
    <w:p>
      <w:pPr>
        <w:spacing w:after="160" w:line="276"/>
      </w:pPr>
      <w:r>
        <w:rPr>
          <w:color w:val="1F2937"/>
          <w:sz w:val="22"/>
          <w:szCs w:val="22"/>
        </w:rPr>
        <w:t xml:space="preserve">a) Groepeer de velden naar wie ze gebruikt en waarvoor. Hoeveel groepen houdt u over?</w:t>
      </w:r>
    </w:p>
    <w:p>
      <w:pPr>
        <w:spacing w:after="160" w:line="276"/>
      </w:pPr>
      <w:r>
        <w:rPr>
          <w:color w:val="1F2937"/>
          <w:sz w:val="22"/>
          <w:szCs w:val="22"/>
        </w:rPr>
        <w:t xml:space="preserve">b) Zoek de velden die door meer dan één groep worden gebruikt. Betekenen ze in beide gevallen hetzelfde? Let vooral op de velden partnerStatus, ingangsdatum en actief.</w:t>
      </w:r>
    </w:p>
    <w:p>
      <w:pPr>
        <w:spacing w:after="160" w:line="276"/>
      </w:pPr>
      <w:r>
        <w:rPr>
          <w:color w:val="1F2937"/>
          <w:sz w:val="22"/>
          <w:szCs w:val="22"/>
        </w:rPr>
        <w:t xml:space="preserve">c) Zoek de velden die door geen enkele groep worden gebruikt. Er zijn er vier. Hoe komen die er volgens u in?</w:t>
      </w:r>
    </w:p>
    <w:p>
      <w:pPr>
        <w:spacing w:after="160" w:line="276"/>
      </w:pPr>
      <w:r>
        <w:rPr>
          <w:color w:val="1F2937"/>
          <w:sz w:val="22"/>
          <w:szCs w:val="22"/>
        </w:rPr>
        <w:t xml:space="preserve">d) Beantwoord: als u dit object in vier kleinere modellen splitst, welke gegevens worden dan gedupliceerd, en wat is de prijs daarvan?</w:t>
      </w:r>
    </w:p>
    <w:p>
      <w:pPr>
        <w:spacing w:after="160" w:line="276"/>
      </w:pPr>
      <w:r>
        <w:rPr>
          <w:color w:val="1F2937"/>
          <w:sz w:val="22"/>
          <w:szCs w:val="22"/>
        </w:rPr>
        <w:t xml:space="preserve">Onderdeel b) is de kern. Een veld dat in twee contexten voorkomt maar verschillende betekenis heeft, is semantische koppeling in zijn zuiverste vorm — precies waar deel 8 voor waarschuwde.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11.1</w:t>
            </w:r>
          </w:p>
          <w:p>
            <w:pPr>
              <w:spacing w:after="80"/>
            </w:pPr>
          </w:p>
          <w:p>
            <w:pPr>
              <w:spacing w:after="120" w:line="276"/>
            </w:pPr>
            <w:r>
              <w:rPr>
                <w:b/>
                <w:bCs/>
                <w:color w:val="1F2937"/>
                <w:sz w:val="21"/>
                <w:szCs w:val="21"/>
              </w:rPr>
              <w:t xml:space="preserve">a)</w:t>
            </w:r>
            <w:r>
              <w:rPr>
                <w:color w:val="1F2937"/>
                <w:sz w:val="21"/>
                <w:szCs w:val="21"/>
              </w:rPr>
              <w:t xml:space="preserve"> Vier groepen, overeenkomend met de vier contexten uit de reader: invoer en controle (7 velden), reglementaire status (9), correspondentie (6), toegang (5). Vier velden vallen buiten alle groepen.</w:t>
            </w:r>
          </w:p>
          <w:p>
            <w:pPr>
              <w:spacing w:after="120" w:line="276"/>
            </w:pPr>
            <w:r>
              <w:rPr>
                <w:b/>
                <w:bCs/>
                <w:color w:val="1F2937"/>
                <w:sz w:val="21"/>
                <w:szCs w:val="21"/>
              </w:rPr>
              <w:t xml:space="preserve">b) De gedeelde velden, en waarom ze niet hetzelfde betekenen:</w:t>
            </w:r>
            <w:r>
              <w:rPr>
                <w:color w:val="1F2937"/>
                <w:sz w:val="21"/>
                <w:szCs w:val="21"/>
              </w:rPr>
              <w:t xml:space="preserve"/>
            </w:r>
          </w:p>
          <w:p>
            <w:pPr>
              <w:pStyle w:val="ListParagraph"/>
              <w:numPr>
                <w:ilvl w:val="0"/>
                <w:numId w:val="2"/>
              </w:numPr>
              <w:spacing w:after="100"/>
            </w:pPr>
            <w:r>
              <w:rPr>
                <w:color w:val="1F2937"/>
                <w:sz w:val="21"/>
                <w:szCs w:val="21"/>
              </w:rPr>
              <w:t xml:space="preserve">partnerStatus betekent in de invoercontext of de gegevens geverifieerd zijn en in de rechtencontext of iemand reglementair als partner geldt. Twee volstrekt verschillende dingen achter één naam. Een verificatie kan compleet zijn terwijl de persoon reglementair géén partner is, en omgekeerd.</w:t>
            </w:r>
          </w:p>
          <w:p>
            <w:pPr>
              <w:pStyle w:val="ListParagraph"/>
              <w:numPr>
                <w:ilvl w:val="0"/>
                <w:numId w:val="2"/>
              </w:numPr>
              <w:spacing w:after="100"/>
            </w:pPr>
            <w:r>
              <w:rPr>
                <w:color w:val="1F2937"/>
                <w:sz w:val="21"/>
                <w:szCs w:val="21"/>
              </w:rPr>
              <w:t xml:space="preserve">ingangsdatum is in de invoercontext de datum waarop de mutatie is opgevoerd, in de rechtencontext de datum vanaf wanneer het partnerschap reglementair geldt. Dat is precies het verschil tussen verwerkingsdatum en ingangsdatum uit deel 8, hier in één veld samengeperst.</w:t>
            </w:r>
          </w:p>
          <w:p>
            <w:pPr>
              <w:pStyle w:val="ListParagraph"/>
              <w:numPr>
                <w:ilvl w:val="0"/>
                <w:numId w:val="2"/>
              </w:numPr>
              <w:spacing w:after="100"/>
            </w:pPr>
            <w:r>
              <w:rPr>
                <w:color w:val="1F2937"/>
                <w:sz w:val="21"/>
                <w:szCs w:val="21"/>
              </w:rPr>
              <w:t xml:space="preserve">actief heeft drie betekenissen: nog in behandeling (invoer), reglementair geldend op de peildatum (rechten), en te benaderen voor correspondentie (correspondentie). Iemand kan het eerste zijn en het tweede niet.</w:t>
            </w:r>
          </w:p>
          <w:p>
            <w:pPr>
              <w:spacing w:after="120" w:line="276"/>
            </w:pPr>
            <w:r>
              <w:rPr>
                <w:color w:val="1F2937"/>
                <w:sz w:val="21"/>
                <w:szCs w:val="21"/>
              </w:rPr>
              <w:t xml:space="preserve">Dit is semantische koppeling in zijn zuiverste vorm. Geen enkele codeanalyse laat het zien; het komt aan het licht wanneer een berekening een uitkomst geeft die niemand kan verklaren.</w:t>
            </w:r>
          </w:p>
          <w:p>
            <w:pPr>
              <w:spacing w:after="120" w:line="276"/>
            </w:pPr>
            <w:r>
              <w:rPr>
                <w:b/>
                <w:bCs/>
                <w:color w:val="1F2937"/>
                <w:sz w:val="21"/>
                <w:szCs w:val="21"/>
              </w:rPr>
              <w:t xml:space="preserve">c) De vier ongebruikte velden.</w:t>
            </w:r>
            <w:r>
              <w:rPr>
                <w:color w:val="1F2937"/>
                <w:sz w:val="21"/>
                <w:szCs w:val="21"/>
              </w:rPr>
              <w:t xml:space="preserve"> Ze komen doorgaans uit drie bronnen: overgenomen uit het gegevensmodel van de kernadministratie ("die staan er nu eenmaal in"), toegevoegd voor een functie die later is geschrapt, en toegevoegd "voor het geval dat". De derde categorie is de gevaarlijkste omdat zij er nog steeds bijkomt.</w:t>
            </w:r>
          </w:p>
          <w:p>
            <w:pPr>
              <w:spacing w:after="120" w:line="276"/>
            </w:pPr>
            <w:r>
              <w:rPr>
                <w:color w:val="1F2937"/>
                <w:sz w:val="21"/>
                <w:szCs w:val="21"/>
              </w:rPr>
              <w:t xml:space="preserve">Merk op dat dit precies is wat de anticorruption layer voorkomt: velden uit het externe model die het eigen domein binnensijpelen.</w:t>
            </w:r>
          </w:p>
          <w:p>
            <w:pPr>
              <w:spacing w:after="120" w:line="276"/>
            </w:pPr>
            <w:r>
              <w:rPr>
                <w:b/>
                <w:bCs/>
                <w:color w:val="1F2937"/>
                <w:sz w:val="21"/>
                <w:szCs w:val="21"/>
              </w:rPr>
              <w:t xml:space="preserve">d) De prijs.</w:t>
            </w:r>
            <w:r>
              <w:rPr>
                <w:color w:val="1F2937"/>
                <w:sz w:val="21"/>
                <w:szCs w:val="21"/>
              </w:rPr>
              <w:t xml:space="preserve"> Naam, geboortedatum en identificatie komen in drie van de vier modellen voor. Dat is duplicatie, en zij vraagt een antwoord op de vraag welke de bron is — het antwoord is: de invoercontext legt vast, de andere ontvangen. Wat u ermee koopt: vier kleine modellen die elk om één reden veranderen, in plaats van één model dat om vier redenen verandert.</w:t>
            </w:r>
          </w:p>
        </w:tc>
      </w:tr>
    </w:tbl>
    <w:p>
      <w:pPr>
        <w:spacing w:after="300"/>
      </w:pPr>
    </w:p>
    <w:p>
      <w:pPr>
        <w:pStyle w:val="Heading1"/>
        <w:pBdr>
          <w:bottom w:val="single" w:color="E5E7EB" w:sz="6" w:space="6"/>
        </w:pBdr>
        <w:spacing w:after="180" w:before="380"/>
      </w:pPr>
      <w:r>
        <w:rPr>
          <w:b/>
          <w:bCs/>
          <w:color w:val="1F3A5F"/>
          <w:sz w:val="30"/>
          <w:szCs w:val="30"/>
        </w:rPr>
        <w:t xml:space="preserve">Opdracht 11.2 — Taalbreuken opsporen (duo's, 25 minuten)</w:t>
      </w:r>
    </w:p>
    <w:p>
      <w:pPr>
        <w:spacing w:after="160" w:line="276"/>
      </w:pPr>
      <w:r>
        <w:rPr>
          <w:color w:val="1F2937"/>
          <w:sz w:val="22"/>
          <w:szCs w:val="22"/>
        </w:rPr>
        <w:t xml:space="preserve">Bijlage AB bevat vier gespreksverslagen. Lees ze door en markeer:</w:t>
      </w:r>
    </w:p>
    <w:p>
      <w:pPr>
        <w:spacing w:after="160" w:line="276"/>
      </w:pPr>
      <w:r>
        <w:rPr>
          <w:color w:val="1F2937"/>
          <w:sz w:val="22"/>
          <w:szCs w:val="22"/>
        </w:rPr>
        <w:t xml:space="preserve">a) Elk woord dat in twee verslagen voorkomt met verschillende betekenis. Er zijn er minstens vijf.</w:t>
      </w:r>
    </w:p>
    <w:p>
      <w:pPr>
        <w:spacing w:after="160" w:line="276"/>
      </w:pPr>
      <w:r>
        <w:rPr>
          <w:color w:val="1F2937"/>
          <w:sz w:val="22"/>
          <w:szCs w:val="22"/>
        </w:rPr>
        <w:t xml:space="preserve">b) Elk paar woorden dat in verschillende verslagen hetzelfde betekent.</w:t>
      </w:r>
    </w:p>
    <w:p>
      <w:pPr>
        <w:spacing w:after="160" w:line="276"/>
      </w:pPr>
      <w:r>
        <w:rPr>
          <w:color w:val="1F2937"/>
          <w:sz w:val="22"/>
          <w:szCs w:val="22"/>
        </w:rPr>
        <w:t xml:space="preserve">c) Elke plek waar een deskundige zegt "ja, maar in dat geval bedoelen we…". Wat gebeurt er op precies die plek?</w:t>
      </w:r>
    </w:p>
    <w:p>
      <w:pPr>
        <w:spacing w:after="160" w:line="276"/>
      </w:pPr>
      <w:r>
        <w:rPr>
          <w:color w:val="1F2937"/>
          <w:sz w:val="22"/>
          <w:szCs w:val="22"/>
        </w:rPr>
        <w:t xml:space="preserve">d) Teken op basis hiervan een eerste, voorlopige contextgrens. Hoeveel contexten ziet u?</w:t>
      </w:r>
    </w:p>
    <w:p>
      <w:pPr>
        <w:spacing w:after="160" w:line="276"/>
      </w:pPr>
      <w:r>
        <w:rPr>
          <w:color w:val="1F2937"/>
          <w:sz w:val="22"/>
          <w:szCs w:val="22"/>
        </w:rPr>
        <w:t xml:space="preserve">Vergelijk uw uitkomst met de vier contexten uit de reader. Waar wijkt u af, en welke van beide indelingen kunt u beter verdedigen?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11.2</w:t>
            </w:r>
          </w:p>
          <w:p>
            <w:pPr>
              <w:spacing w:after="80"/>
            </w:pPr>
          </w:p>
          <w:p>
            <w:pPr>
              <w:spacing w:after="120" w:line="276"/>
            </w:pPr>
            <w:r>
              <w:rPr>
                <w:b/>
                <w:bCs/>
                <w:color w:val="1F2937"/>
                <w:sz w:val="21"/>
                <w:szCs w:val="21"/>
              </w:rPr>
              <w:t xml:space="preserve">a) De taalbreuken</w:t>
            </w:r>
            <w:r>
              <w:rPr>
                <w:color w:val="1F2937"/>
                <w:sz w:val="21"/>
                <w:szCs w:val="21"/>
              </w:rPr>
              <w:t xml:space="preserve"> in bijlage AB, met de vijf die er zeker in zitten: partner, actief, ingangsdatum, dossier en verwerkt.</w:t>
            </w:r>
          </w:p>
          <w:p>
            <w:pPr>
              <w:spacing w:after="120" w:line="276"/>
            </w:pPr>
            <w:r>
              <w:rPr>
                <w:color w:val="1F2937"/>
                <w:sz w:val="21"/>
                <w:szCs w:val="21"/>
              </w:rPr>
              <w:t xml:space="preserve">De aardigste is verwerkt. Voor de mutatiebehandelaar betekent het dat de mutatie in het platform is vastgelegd; voor de actuaris dat de rechten zijn herberekend; voor compliance dat de audittrail compleet is. Alle drie kunnen op verschillende momenten waar zijn, en alle drie zeggen "verwerkt".</w:t>
            </w:r>
          </w:p>
          <w:p>
            <w:pPr>
              <w:spacing w:after="120" w:line="276"/>
            </w:pPr>
            <w:r>
              <w:rPr>
                <w:b/>
                <w:bCs/>
                <w:color w:val="1F2937"/>
                <w:sz w:val="21"/>
                <w:szCs w:val="21"/>
              </w:rPr>
              <w:t xml:space="preserve">b) Woordparen die hetzelfde betekenen: </w:t>
            </w:r>
            <w:r>
              <w:rPr>
                <w:color w:val="1F2937"/>
                <w:sz w:val="21"/>
                <w:szCs w:val="21"/>
              </w:rPr>
              <w:t xml:space="preserve">verevening en verdeling; dossier en zaak (dat was al bekend uit deel 3 van niveau 1); melder en indiener.</w:t>
            </w:r>
          </w:p>
          <w:p>
            <w:pPr>
              <w:spacing w:after="120" w:line="276"/>
            </w:pPr>
            <w:r>
              <w:rPr>
                <w:b/>
                <w:bCs/>
                <w:color w:val="1F2937"/>
                <w:sz w:val="21"/>
                <w:szCs w:val="21"/>
              </w:rPr>
              <w:t xml:space="preserve">c)</w:t>
            </w:r>
            <w:r>
              <w:rPr>
                <w:color w:val="1F2937"/>
                <w:sz w:val="21"/>
                <w:szCs w:val="21"/>
              </w:rPr>
              <w:t xml:space="preserve"> Op elke plek waar iemand zegt "ja, maar in dat geval bedoelen we…" staat u op een contextgrens. Dit is de bruikbaarste heuristiek uit dit deel en zij werkt in elke werksessie.</w:t>
            </w:r>
          </w:p>
          <w:p>
            <w:pPr>
              <w:spacing w:after="120" w:line="276"/>
            </w:pPr>
            <w:r>
              <w:rPr>
                <w:color w:val="1F2937"/>
                <w:sz w:val="21"/>
                <w:szCs w:val="21"/>
              </w:rPr>
              <w:t xml:space="preserve">Wat er op zo'n plek gebeurt in een gesprek waar niemand oplet: de deskundige past zich aan aan de vraagsteller, geeft het antwoord dat in díé context klopt, en de vraagsteller noteert het als algemene regel.</w:t>
            </w:r>
          </w:p>
          <w:p>
            <w:pPr>
              <w:spacing w:after="120" w:line="276"/>
            </w:pPr>
            <w:r>
              <w:rPr>
                <w:b/>
                <w:bCs/>
                <w:color w:val="1F2937"/>
                <w:sz w:val="21"/>
                <w:szCs w:val="21"/>
              </w:rPr>
              <w:t xml:space="preserve">d)</w:t>
            </w:r>
            <w:r>
              <w:rPr>
                <w:color w:val="1F2937"/>
                <w:sz w:val="21"/>
                <w:szCs w:val="21"/>
              </w:rPr>
              <w:t xml:space="preserve"> Vier contexten is de verwachte uitkomst en zij komt overeen met de reader. Groepen die op drie uitkomen, voegen doorgaans correspondentie en toegang samen — verdedigbaar, want beide gaan over "naar buiten treden", maar zij veranderen om verschillende redenen en hebben verschillende eigenaren.</w:t>
            </w:r>
          </w:p>
          <w:p>
            <w:pPr>
              <w:spacing w:after="120" w:line="276"/>
            </w:pPr>
            <w:r>
              <w:rPr>
                <w:color w:val="1F2937"/>
                <w:sz w:val="21"/>
                <w:szCs w:val="21"/>
              </w:rPr>
              <w:t xml:space="preserve">Groepen die op zes of meer uitkomen, splitsen meestal binnen de mutatieverwerking naar mutatiesoort. Dat is een module-indeling, geen contextindeling: de mutatiesoorten delen hun taal en hun model.</w:t>
            </w:r>
          </w:p>
        </w:tc>
      </w:tr>
    </w:tbl>
    <w:p>
      <w:pPr>
        <w:spacing w:after="300"/>
      </w:pPr>
    </w:p>
    <w:p>
      <w:pPr>
        <w:pStyle w:val="Heading1"/>
        <w:pBdr>
          <w:bottom w:val="single" w:color="E5E7EB" w:sz="6" w:space="6"/>
        </w:pBdr>
        <w:spacing w:after="180" w:before="380"/>
      </w:pPr>
      <w:r>
        <w:rPr>
          <w:b/>
          <w:bCs/>
          <w:color w:val="1F3A5F"/>
          <w:sz w:val="30"/>
          <w:szCs w:val="30"/>
        </w:rPr>
        <w:t xml:space="preserve">Opdracht 11.3 — De werksessie (hele groep, 60 minuten)</w:t>
      </w:r>
    </w:p>
    <w:p>
      <w:pPr>
        <w:spacing w:after="160" w:line="276"/>
      </w:pPr>
      <w:r>
        <w:rPr>
          <w:color w:val="1F2937"/>
          <w:sz w:val="22"/>
          <w:szCs w:val="22"/>
        </w:rPr>
        <w:t xml:space="preserve">Wij houden een gestructureerde domeinwerksessie over het scheidingsproces, met bijlage AD.</w:t>
      </w:r>
    </w:p>
    <w:p>
      <w:pPr>
        <w:spacing w:after="160" w:line="276"/>
      </w:pPr>
      <w:r>
        <w:rPr>
          <w:b/>
          <w:bCs/>
          <w:color w:val="1F2937"/>
          <w:sz w:val="22"/>
          <w:szCs w:val="22"/>
        </w:rPr>
        <w:t xml:space="preserve">Opzet.</w:t>
      </w:r>
      <w:r>
        <w:rPr>
          <w:color w:val="1F2937"/>
          <w:sz w:val="22"/>
          <w:szCs w:val="22"/>
        </w:rPr>
        <w:t xml:space="preserve"> Een lange muur of tafel als tijdlijn. De groep werkt staand.</w:t>
      </w:r>
    </w:p>
    <w:p>
      <w:pPr>
        <w:pStyle w:val="ListParagraph"/>
        <w:numPr>
          <w:ilvl w:val="0"/>
          <w:numId w:val="3"/>
        </w:numPr>
        <w:spacing w:after="120"/>
      </w:pPr>
      <w:r>
        <w:rPr>
          <w:b/>
          <w:bCs/>
          <w:color w:val="1F2937"/>
          <w:sz w:val="22"/>
          <w:szCs w:val="22"/>
        </w:rPr>
        <w:t xml:space="preserve">Gebeurtenissen plaatsen</w:t>
      </w:r>
      <w:r>
        <w:rPr>
          <w:color w:val="1F2937"/>
          <w:sz w:val="22"/>
          <w:szCs w:val="22"/>
        </w:rPr>
        <w:t xml:space="preserve"> (15 min). Leg alle gebeurtenissen uit bijlage AD op de tijdlijn, in de volgorde waarin ze plaatsvinden. Praat niet over structuur; alleen over wat er gebeurt. Gebeurtenissen zijn in voltooide vorm geformuleerd: scheiding gemeld, verevening berekend, bericht verzonden.</w:t>
      </w:r>
    </w:p>
    <w:p>
      <w:pPr>
        <w:pStyle w:val="ListParagraph"/>
        <w:numPr>
          <w:ilvl w:val="0"/>
          <w:numId w:val="3"/>
        </w:numPr>
        <w:spacing w:after="120"/>
      </w:pPr>
      <w:r>
        <w:rPr>
          <w:b/>
          <w:bCs/>
          <w:color w:val="1F2937"/>
          <w:sz w:val="22"/>
          <w:szCs w:val="22"/>
        </w:rPr>
        <w:t xml:space="preserve">Hiaten en dubbelingen</w:t>
      </w:r>
      <w:r>
        <w:rPr>
          <w:color w:val="1F2937"/>
          <w:sz w:val="22"/>
          <w:szCs w:val="22"/>
        </w:rPr>
        <w:t xml:space="preserve"> (10 min). Ontbreken er gebeurtenissen? Staan er twee die hetzelfde zijn met een andere naam? Voeg toe en voeg samen.</w:t>
      </w:r>
    </w:p>
    <w:p>
      <w:pPr>
        <w:pStyle w:val="ListParagraph"/>
        <w:numPr>
          <w:ilvl w:val="0"/>
          <w:numId w:val="3"/>
        </w:numPr>
        <w:spacing w:after="120"/>
      </w:pPr>
      <w:r>
        <w:rPr>
          <w:b/>
          <w:bCs/>
          <w:color w:val="1F2937"/>
          <w:sz w:val="22"/>
          <w:szCs w:val="22"/>
        </w:rPr>
        <w:t xml:space="preserve">Vragen markeren</w:t>
      </w:r>
      <w:r>
        <w:rPr>
          <w:color w:val="1F2937"/>
          <w:sz w:val="22"/>
          <w:szCs w:val="22"/>
        </w:rPr>
        <w:t xml:space="preserve"> (10 min). Overal waar de groep het oneens is of iets niet weet: een markering met de vraag erop. Die markeringen zijn de opbrengst, niet het probleem.</w:t>
      </w:r>
    </w:p>
    <w:p>
      <w:pPr>
        <w:pStyle w:val="ListParagraph"/>
        <w:numPr>
          <w:ilvl w:val="0"/>
          <w:numId w:val="3"/>
        </w:numPr>
        <w:spacing w:after="120"/>
      </w:pPr>
      <w:r>
        <w:rPr>
          <w:b/>
          <w:bCs/>
          <w:color w:val="1F2937"/>
          <w:sz w:val="22"/>
          <w:szCs w:val="22"/>
        </w:rPr>
        <w:t xml:space="preserve">Clusters zoeken</w:t>
      </w:r>
      <w:r>
        <w:rPr>
          <w:color w:val="1F2937"/>
          <w:sz w:val="22"/>
          <w:szCs w:val="22"/>
        </w:rPr>
        <w:t xml:space="preserve"> (15 min). Waar horen gebeurtenissen bij elkaar? Waar verandert de taal? Trek voorlopige grenzen.</w:t>
      </w:r>
    </w:p>
    <w:p>
      <w:pPr>
        <w:pStyle w:val="ListParagraph"/>
        <w:numPr>
          <w:ilvl w:val="0"/>
          <w:numId w:val="3"/>
        </w:numPr>
        <w:spacing w:after="120"/>
      </w:pPr>
      <w:r>
        <w:rPr>
          <w:b/>
          <w:bCs/>
          <w:color w:val="1F2937"/>
          <w:sz w:val="22"/>
          <w:szCs w:val="22"/>
        </w:rPr>
        <w:t xml:space="preserve">Benoemen</w:t>
      </w:r>
      <w:r>
        <w:rPr>
          <w:color w:val="1F2937"/>
          <w:sz w:val="22"/>
          <w:szCs w:val="22"/>
        </w:rPr>
        <w:t xml:space="preserve"> (10 min). Geef elk cluster een naam in de taal van het domein, niet in techniektaal.</w:t>
      </w:r>
    </w:p>
    <w:p>
      <w:pPr>
        <w:spacing w:after="160" w:line="276"/>
      </w:pPr>
      <w:r>
        <w:rPr>
          <w:b/>
          <w:bCs/>
          <w:color w:val="1F2937"/>
          <w:sz w:val="22"/>
          <w:szCs w:val="22"/>
        </w:rPr>
        <w:t xml:space="preserve">Regel voor de sessie: </w:t>
      </w:r>
      <w:r>
        <w:rPr>
          <w:color w:val="1F2937"/>
          <w:sz w:val="22"/>
          <w:szCs w:val="22"/>
        </w:rPr>
        <w:t xml:space="preserve">de domeindeskundigen praten, de ontwikkelaars luisteren en vragen. Als de sessie in een technische discussie belandt, is zij mislukt — hoe interessant het gesprek ook was.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11.3</w:t>
            </w:r>
          </w:p>
          <w:p>
            <w:pPr>
              <w:spacing w:after="80"/>
            </w:pPr>
          </w:p>
          <w:p>
            <w:pPr>
              <w:spacing w:after="120" w:line="276"/>
            </w:pPr>
            <w:r>
              <w:rPr>
                <w:color w:val="1F2937"/>
                <w:sz w:val="21"/>
                <w:szCs w:val="21"/>
              </w:rPr>
              <w:t xml:space="preserve">Geen modelantwoord; de sessie is de opbrengst. Wat u moet zien gebeuren:</w:t>
            </w:r>
          </w:p>
          <w:p>
            <w:pPr>
              <w:spacing w:after="120" w:line="276"/>
            </w:pPr>
            <w:r>
              <w:rPr>
                <w:b/>
                <w:bCs/>
                <w:color w:val="1F2937"/>
                <w:sz w:val="21"/>
                <w:szCs w:val="21"/>
              </w:rPr>
              <w:t xml:space="preserve">In stap 1</w:t>
            </w:r>
            <w:r>
              <w:rPr>
                <w:color w:val="1F2937"/>
                <w:sz w:val="21"/>
                <w:szCs w:val="21"/>
              </w:rPr>
              <w:t xml:space="preserve"> zet de groep de gebeurtenissen te snel in een keurige rij. In werkelijkheid is het scheidingsproces niet lineair: er zijn wachtmomenten, terugkerende stappen en gebeurtenissen die soms wel en soms niet plaatsvinden. Als de tijdlijn er na tien minuten netjes uitziet, is er iets weggelaten.</w:t>
            </w:r>
          </w:p>
          <w:p>
            <w:pPr>
              <w:spacing w:after="120" w:line="276"/>
            </w:pPr>
            <w:r>
              <w:rPr>
                <w:b/>
                <w:bCs/>
                <w:color w:val="1F2937"/>
                <w:sz w:val="21"/>
                <w:szCs w:val="21"/>
              </w:rPr>
              <w:t xml:space="preserve">In stap 3</w:t>
            </w:r>
            <w:r>
              <w:rPr>
                <w:color w:val="1F2937"/>
                <w:sz w:val="21"/>
                <w:szCs w:val="21"/>
              </w:rPr>
              <w:t xml:space="preserve"> zijn de markeringen de opbrengst. De vragen die in eerdere sessies boven kwamen:</w:t>
            </w:r>
          </w:p>
          <w:p>
            <w:pPr>
              <w:pStyle w:val="ListParagraph"/>
              <w:numPr>
                <w:ilvl w:val="0"/>
                <w:numId w:val="2"/>
              </w:numPr>
              <w:spacing w:after="100"/>
            </w:pPr>
            <w:r>
              <w:rPr>
                <w:color w:val="1F2937"/>
                <w:sz w:val="21"/>
                <w:szCs w:val="21"/>
              </w:rPr>
              <w:t xml:space="preserve">Wanneer geldt een scheiding als "gemeld" — bij het bericht van de deelnemer, bij het gerechtelijk stuk, of bij de registratie in de gemeentelijke basisregistratie?</w:t>
            </w:r>
          </w:p>
          <w:p>
            <w:pPr>
              <w:pStyle w:val="ListParagraph"/>
              <w:numPr>
                <w:ilvl w:val="0"/>
                <w:numId w:val="2"/>
              </w:numPr>
              <w:spacing w:after="100"/>
            </w:pPr>
            <w:r>
              <w:rPr>
                <w:color w:val="1F2937"/>
                <w:sz w:val="21"/>
                <w:szCs w:val="21"/>
              </w:rPr>
              <w:t xml:space="preserve">Wie bepaalt of het reglementaire partnerschap eindigde op de datum van de uitspraak of op de datum van de feitelijke scheiding?</w:t>
            </w:r>
          </w:p>
          <w:p>
            <w:pPr>
              <w:pStyle w:val="ListParagraph"/>
              <w:numPr>
                <w:ilvl w:val="0"/>
                <w:numId w:val="2"/>
              </w:numPr>
              <w:spacing w:after="100"/>
            </w:pPr>
            <w:r>
              <w:rPr>
                <w:color w:val="1F2937"/>
                <w:sz w:val="21"/>
                <w:szCs w:val="21"/>
              </w:rPr>
              <w:t xml:space="preserve">Wat gebeurt er als beide ex-partners deelnemer zijn bij Meridiaan?</w:t>
            </w:r>
          </w:p>
          <w:p>
            <w:pPr>
              <w:spacing w:after="120" w:line="276"/>
            </w:pPr>
            <w:r>
              <w:rPr>
                <w:color w:val="1F2937"/>
                <w:sz w:val="21"/>
                <w:szCs w:val="21"/>
              </w:rPr>
              <w:t xml:space="preserve">De derde is de beste, want zij is meestal niemands verantwoordelijkheid en komt in geen enkel proces expliciet voor.</w:t>
            </w:r>
          </w:p>
          <w:p>
            <w:pPr>
              <w:spacing w:after="120" w:line="276"/>
            </w:pPr>
            <w:r>
              <w:rPr>
                <w:b/>
                <w:bCs/>
                <w:color w:val="1F2937"/>
                <w:sz w:val="21"/>
                <w:szCs w:val="21"/>
              </w:rPr>
              <w:t xml:space="preserve">In stap 4</w:t>
            </w:r>
            <w:r>
              <w:rPr>
                <w:color w:val="1F2937"/>
                <w:sz w:val="21"/>
                <w:szCs w:val="21"/>
              </w:rPr>
              <w:t xml:space="preserve"> verschijnen de grenzen op de plaatsen waar de reader ze ook trekt, met één toevoeging die groepen vaak zelf vinden: rond het wachten op externe partijen ontstaat een eigen cluster, en dat is een goede aanwijzing dat de doorlooptijdbewaking een eigen context of module verdient.</w:t>
            </w:r>
          </w:p>
          <w:p>
            <w:pPr>
              <w:spacing w:after="120" w:line="276"/>
            </w:pPr>
            <w:r>
              <w:rPr>
                <w:b/>
                <w:bCs/>
                <w:color w:val="1F2937"/>
                <w:sz w:val="21"/>
                <w:szCs w:val="21"/>
              </w:rPr>
              <w:t xml:space="preserve">Waarop u de sessie beoordeelt: </w:t>
            </w:r>
            <w:r>
              <w:rPr>
                <w:color w:val="1F2937"/>
                <w:sz w:val="21"/>
                <w:szCs w:val="21"/>
              </w:rPr>
              <w:t xml:space="preserve">is de taal van het domein gebruikt? Een tijdlijn met gebeurtenissen als "record aangemaakt" of "API aangeroepen" betekent dat de ontwikkelaars het gesprek hebben overgenomen.</w:t>
            </w:r>
          </w:p>
        </w:tc>
      </w:tr>
    </w:tbl>
    <w:p>
      <w:pPr>
        <w:spacing w:after="300"/>
      </w:pPr>
    </w:p>
    <w:p>
      <w:pPr>
        <w:pStyle w:val="Heading1"/>
        <w:pBdr>
          <w:bottom w:val="single" w:color="E5E7EB" w:sz="6" w:space="6"/>
        </w:pBdr>
        <w:spacing w:after="180" w:before="380"/>
      </w:pPr>
      <w:r>
        <w:rPr>
          <w:b/>
          <w:bCs/>
          <w:color w:val="1F3A5F"/>
          <w:sz w:val="30"/>
          <w:szCs w:val="30"/>
        </w:rPr>
        <w:t xml:space="preserve">Opdracht 11.4 — Subdomeinen classificeren (groepen van vier, 25 minuten)</w:t>
      </w:r>
    </w:p>
    <w:p>
      <w:pPr>
        <w:spacing w:after="160" w:line="276"/>
      </w:pPr>
      <w:r>
        <w:rPr>
          <w:color w:val="1F2937"/>
          <w:sz w:val="22"/>
          <w:szCs w:val="22"/>
        </w:rPr>
        <w:t xml:space="preserve">a) Classificeer de subdomeinen van het Mutatieplatform als kern, ondersteunend of generiek. Gebruik de lijst uit de reader als startpunt maar neem hem niet over — verdedig elke classificatie.</w:t>
      </w:r>
    </w:p>
    <w:p>
      <w:pPr>
        <w:spacing w:after="160" w:line="276"/>
      </w:pPr>
      <w:r>
        <w:rPr>
          <w:color w:val="1F2937"/>
          <w:sz w:val="22"/>
          <w:szCs w:val="22"/>
        </w:rPr>
        <w:t xml:space="preserve">b) Pas de toets toe: als een concurrent dit precies zo doet, zijn wij dan minder onderscheidend? Welke classificaties veranderen daardoor?</w:t>
      </w:r>
    </w:p>
    <w:p>
      <w:pPr>
        <w:spacing w:after="160" w:line="276"/>
      </w:pPr>
      <w:r>
        <w:rPr>
          <w:color w:val="1F2937"/>
          <w:sz w:val="22"/>
          <w:szCs w:val="22"/>
        </w:rPr>
        <w:t xml:space="preserve">c) Bepaal per kernsubdomein: wie zijn uw beste mensen, en werken die er nu aan?</w:t>
      </w:r>
    </w:p>
    <w:p>
      <w:pPr>
        <w:spacing w:after="160" w:line="276"/>
      </w:pPr>
      <w:r>
        <w:rPr>
          <w:b/>
          <w:bCs/>
          <w:color w:val="1F2937"/>
          <w:sz w:val="22"/>
          <w:szCs w:val="22"/>
        </w:rPr>
        <w:t xml:space="preserve">d) De ongemakkelijke vraag.</w:t>
      </w:r>
      <w:r>
        <w:rPr>
          <w:color w:val="1F2937"/>
          <w:sz w:val="22"/>
          <w:szCs w:val="22"/>
        </w:rPr>
        <w:t xml:space="preserve"> In Mutatie 1.0 is veel capaciteit gegaan naar generieke zaken terwijl het kerndomein nooit is gebouwd. Zoek in uw eigen ontwerp naar één plek waar dat opnieuw dreigt. Wat zou u anders doen?</w:t>
      </w:r>
    </w:p>
    <w:p>
      <w:pPr>
        <w:spacing w:after="160" w:line="276"/>
      </w:pPr>
      <w:r>
        <w:rPr>
          <w:color w:val="1F2937"/>
          <w:sz w:val="22"/>
          <w:szCs w:val="22"/>
        </w:rPr>
        <w:t xml:space="preserve">e) Neem één subdomein dat u als generiek classificeert en waarvoor u een product zou kopen. Welke eis uit niveau 1 zou het product moeten kunnen? Wat doet u als het dat niet kan?</w:t>
      </w:r>
    </w:p>
    <w:p>
      <w:pPr>
        <w:spacing w:after="160" w:line="276"/>
      </w:pPr>
      <w:r>
        <w:rPr>
          <w:color w:val="1F2937"/>
          <w:sz w:val="22"/>
          <w:szCs w:val="22"/>
        </w:rPr>
        <w:t xml:space="preserve">Onderdeel e) is niet triviaal: toegangsbeheer is generiek, maar de functiescheidingsregel uit deel 6 en 8 is dat niet.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11.4</w:t>
            </w:r>
          </w:p>
          <w:p>
            <w:pPr>
              <w:spacing w:after="80"/>
            </w:pPr>
          </w:p>
          <w:p>
            <w:pPr>
              <w:spacing w:after="120" w:line="276"/>
            </w:pPr>
            <w:r>
              <w:rPr>
                <w:b/>
                <w:bCs/>
                <w:color w:val="1F2937"/>
                <w:sz w:val="21"/>
                <w:szCs w:val="21"/>
              </w:rPr>
              <w:t xml:space="preserve">a/b) De classificaties die het vaakst verschuiven</w:t>
            </w:r>
            <w:r>
              <w:rPr>
                <w:color w:val="1F2937"/>
                <w:sz w:val="21"/>
                <w:szCs w:val="21"/>
              </w:rPr>
              <w:t xml:space="preserve"> na toepassing van de toets:</w:t>
            </w:r>
          </w:p>
          <w:p>
            <w:pPr>
              <w:pStyle w:val="ListParagraph"/>
              <w:numPr>
                <w:ilvl w:val="0"/>
                <w:numId w:val="2"/>
              </w:numPr>
              <w:spacing w:after="100"/>
            </w:pPr>
            <w:r>
              <w:rPr>
                <w:color w:val="1F2937"/>
                <w:sz w:val="21"/>
                <w:szCs w:val="21"/>
              </w:rPr>
              <w:t xml:space="preserve">Werkgeversaanlevering wordt door groepen vaak kern genoemd omdat het veel werk is. De toets ontkracht dat: elke uitvoerder doet dit, en het formaat is grotendeels van buiten opgelegd. Ondersteunend.</w:t>
            </w:r>
          </w:p>
          <w:p>
            <w:pPr>
              <w:pStyle w:val="ListParagraph"/>
              <w:numPr>
                <w:ilvl w:val="0"/>
                <w:numId w:val="2"/>
              </w:numPr>
              <w:spacing w:after="100"/>
            </w:pPr>
            <w:r>
              <w:rPr>
                <w:color w:val="1F2937"/>
                <w:sz w:val="21"/>
                <w:szCs w:val="21"/>
              </w:rPr>
              <w:t xml:space="preserve">Correspondentie idem. Veel werk, weinig onderscheidend.</w:t>
            </w:r>
          </w:p>
          <w:p>
            <w:pPr>
              <w:pStyle w:val="ListParagraph"/>
              <w:numPr>
                <w:ilvl w:val="0"/>
                <w:numId w:val="2"/>
              </w:numPr>
              <w:spacing w:after="100"/>
            </w:pPr>
            <w:r>
              <w:rPr>
                <w:color w:val="1F2937"/>
                <w:sz w:val="21"/>
                <w:szCs w:val="21"/>
              </w:rPr>
              <w:t xml:space="preserve">Mutatieverwerking wordt soms als ondersteunend geclassificeerd omdat "het maar administratie is". Dat is onjuist voor deze organisatie: de doorlooptijd van mutaties was een van de drie aanleidingen voor het programma en staat in contractverlengingen van werkgevers. Kern.</w:t>
            </w:r>
          </w:p>
          <w:p>
            <w:pPr>
              <w:spacing w:after="120" w:line="276"/>
            </w:pPr>
            <w:r>
              <w:rPr>
                <w:b/>
                <w:bCs/>
                <w:color w:val="1F2937"/>
                <w:sz w:val="21"/>
                <w:szCs w:val="21"/>
              </w:rPr>
              <w:t xml:space="preserve">c)</w:t>
            </w:r>
            <w:r>
              <w:rPr>
                <w:color w:val="1F2937"/>
                <w:sz w:val="21"/>
                <w:szCs w:val="21"/>
              </w:rPr>
              <w:t xml:space="preserve"> De vraag of de beste mensen aan het kerndomein werken, is bijna altijd ontkennend te beantwoorden. De beste mensen zitten doorgaans op het technisch interessantste onderdeel, en dat is zelden het kerndomein — de reglementaire rechtenbepaling is intellectueel zwaar maar technisch saai.</w:t>
            </w:r>
          </w:p>
          <w:p>
            <w:pPr>
              <w:spacing w:after="120" w:line="276"/>
            </w:pPr>
            <w:r>
              <w:rPr>
                <w:b/>
                <w:bCs/>
                <w:color w:val="1F2937"/>
                <w:sz w:val="21"/>
                <w:szCs w:val="21"/>
              </w:rPr>
              <w:t xml:space="preserve">d)</w:t>
            </w:r>
            <w:r>
              <w:rPr>
                <w:color w:val="1F2937"/>
                <w:sz w:val="21"/>
                <w:szCs w:val="21"/>
              </w:rPr>
              <w:t xml:space="preserve"> Waar het opnieuw dreigt: de gebeurtenisopslag. Dat is technisch aantrekkelijk werk dat teams graag zelf bouwen, terwijl de mechanica ervan generiek is. Wat kern is, is het model van de gebeurtenissen — niet de opslagmachinerie.</w:t>
            </w:r>
          </w:p>
          <w:p>
            <w:pPr>
              <w:spacing w:after="120" w:line="276"/>
            </w:pPr>
            <w:r>
              <w:rPr>
                <w:b/>
                <w:bCs/>
                <w:color w:val="1F2937"/>
                <w:sz w:val="21"/>
                <w:szCs w:val="21"/>
              </w:rPr>
              <w:t xml:space="preserve">e) De ongemakkelijke uitzondering.</w:t>
            </w:r>
            <w:r>
              <w:rPr>
                <w:color w:val="1F2937"/>
                <w:sz w:val="21"/>
                <w:szCs w:val="21"/>
              </w:rPr>
              <w:t xml:space="preserve"> Toegangsbeheer is generiek en er zijn goede producten. Maar de functiescheidingsregel uit deel 6 en 8 — wie een adres wijzigt, mag geen uitkeringsopdracht op die deelnemer goedkeuren — is niet generiek: zij vereist kennis van de dossierhistorie, en die heeft een generiek product niet.</w:t>
            </w:r>
          </w:p>
          <w:p>
            <w:pPr>
              <w:spacing w:after="120" w:line="276"/>
            </w:pPr>
            <w:r>
              <w:rPr>
                <w:color w:val="1F2937"/>
                <w:sz w:val="21"/>
                <w:szCs w:val="21"/>
              </w:rPr>
              <w:t xml:space="preserve">Het juiste antwoord is dus splitsen: koop het generieke deel (identiteit, rollen, sessies) en houd het domeinspecifieke deel (functiescheiding op dossierniveau) in het kerndomein. Groepen die het hele toegangsbeheer kopen en dan ontdekken dat functiescheiding er niet in past, hebben de klassieke pakketkeuzefout gemaakt: een generiek product gekocht voor een deels specifiek probleem.</w:t>
            </w:r>
          </w:p>
        </w:tc>
      </w:tr>
    </w:tbl>
    <w:p>
      <w:pPr>
        <w:spacing w:after="300"/>
      </w:pPr>
    </w:p>
    <w:p>
      <w:pPr>
        <w:pStyle w:val="Heading1"/>
        <w:pBdr>
          <w:bottom w:val="single" w:color="E5E7EB" w:sz="6" w:space="6"/>
        </w:pBdr>
        <w:spacing w:after="180" w:before="380"/>
      </w:pPr>
      <w:r>
        <w:rPr>
          <w:b/>
          <w:bCs/>
          <w:color w:val="1F3A5F"/>
          <w:sz w:val="30"/>
          <w:szCs w:val="30"/>
        </w:rPr>
        <w:t xml:space="preserve">Opdracht 11.5 — De context map tekenen (groepen van vier, 35 minuten)</w:t>
      </w:r>
    </w:p>
    <w:p>
      <w:pPr>
        <w:spacing w:after="160" w:line="276"/>
      </w:pPr>
      <w:r>
        <w:rPr>
          <w:color w:val="1F2937"/>
          <w:sz w:val="22"/>
          <w:szCs w:val="22"/>
        </w:rPr>
        <w:t xml:space="preserve">a) Teken de context map voor Mutatie 2.0. Gebruik de contexten uit opdracht 11.3 waar u die hebt, aangevuld met de reader.</w:t>
      </w:r>
    </w:p>
    <w:p>
      <w:pPr>
        <w:spacing w:after="160" w:line="276"/>
      </w:pPr>
      <w:r>
        <w:rPr>
          <w:color w:val="1F2937"/>
          <w:sz w:val="22"/>
          <w:szCs w:val="22"/>
        </w:rPr>
        <w:t xml:space="preserve">b) Benoem per relatie het patroon uit paragraaf 11.5. Elk patroon dat u kiest, moet u kunnen verdedigen met een uitspraak over wie zich aan wie aanpast.</w:t>
      </w:r>
    </w:p>
    <w:p>
      <w:pPr>
        <w:spacing w:after="160" w:line="276"/>
      </w:pPr>
      <w:r>
        <w:rPr>
          <w:color w:val="1F2937"/>
          <w:sz w:val="22"/>
          <w:szCs w:val="22"/>
        </w:rPr>
        <w:t xml:space="preserve">c) De kernadministratie: waarom is dat een anticorruption layer en geen conformist? Wat zou er gebeuren als u het conformist liet worden?</w:t>
      </w:r>
    </w:p>
    <w:p>
      <w:pPr>
        <w:spacing w:after="160" w:line="276"/>
      </w:pPr>
      <w:r>
        <w:rPr>
          <w:color w:val="1F2937"/>
          <w:sz w:val="22"/>
          <w:szCs w:val="22"/>
        </w:rPr>
        <w:t xml:space="preserve">d) De werkgeverskoppeling: u hebt een open host service en een published language. Wat is het verschil, en welke van beide bepaalt uw versiebeleid?</w:t>
      </w:r>
    </w:p>
    <w:p>
      <w:pPr>
        <w:spacing w:after="160" w:line="276"/>
      </w:pPr>
      <w:r>
        <w:rPr>
          <w:b/>
          <w:bCs/>
          <w:color w:val="1F2937"/>
          <w:sz w:val="22"/>
          <w:szCs w:val="22"/>
        </w:rPr>
        <w:t xml:space="preserve">e) Toets tegen niveau 1.</w:t>
      </w:r>
      <w:r>
        <w:rPr>
          <w:color w:val="1F2937"/>
          <w:sz w:val="22"/>
          <w:szCs w:val="22"/>
        </w:rPr>
        <w:t xml:space="preserve"> Leg uw context map naast uw modulith-indeling uit deel 5. Vallen contexten en modules samen? Waar niet, en is dat erg?</w:t>
      </w:r>
    </w:p>
    <w:p>
      <w:pPr>
        <w:spacing w:after="160" w:line="276"/>
      </w:pPr>
      <w:r>
        <w:rPr>
          <w:color w:val="1F2937"/>
          <w:sz w:val="22"/>
          <w:szCs w:val="22"/>
        </w:rPr>
        <w:t xml:space="preserve">Onderdeel e) levert de belangrijkste discussie op. Presenteer c) en e) plenair.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11.5</w:t>
            </w:r>
          </w:p>
          <w:p>
            <w:pPr>
              <w:spacing w:after="80"/>
            </w:pPr>
          </w:p>
          <w:p>
            <w:pPr>
              <w:spacing w:after="120" w:line="276"/>
            </w:pPr>
            <w:r>
              <w:rPr>
                <w:b/>
                <w:bCs/>
                <w:color w:val="1F2937"/>
                <w:sz w:val="21"/>
                <w:szCs w:val="21"/>
              </w:rPr>
              <w:t xml:space="preserve">b) Een verdedigbare context map:</w:t>
            </w:r>
            <w:r>
              <w:rPr>
                <w:color w:val="1F2937"/>
                <w:sz w:val="21"/>
                <w:szCs w:val="21"/>
              </w:rPr>
              <w:t xml:space="preserve"/>
            </w:r>
          </w:p>
          <w:tbl>
            <w:tblPr>
              <w:tblW w:type="dxa" w:w="96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3000"/>
              <w:gridCol w:w="3300"/>
              <w:gridCol w:w="3300"/>
            </w:tblGrid>
            <w:tr>
              <w:trPr>
                <w:tblHeader/>
              </w:trPr>
              <w:tc>
                <w:tcPr>
                  <w:tcW w:type="dxa" w:w="3000"/>
                  <w:shd w:fill="1F3A5F" w:val="clear"/>
                  <w:tcMar>
                    <w:top w:type="dxa" w:w="100"/>
                    <w:left w:type="dxa" w:w="120"/>
                    <w:bottom w:type="dxa" w:w="100"/>
                    <w:right w:type="dxa" w:w="120"/>
                  </w:tcMar>
                  <w:vAlign w:val="center"/>
                </w:tcPr>
                <w:p>
                  <w:r>
                    <w:rPr>
                      <w:b/>
                      <w:bCs/>
                      <w:color w:val="FFFFFF"/>
                      <w:sz w:val="19"/>
                      <w:szCs w:val="19"/>
                    </w:rPr>
                    <w:t xml:space="preserve">Relatie</w:t>
                  </w:r>
                </w:p>
              </w:tc>
              <w:tc>
                <w:tcPr>
                  <w:tcW w:type="dxa" w:w="3300"/>
                  <w:shd w:fill="1F3A5F" w:val="clear"/>
                  <w:tcMar>
                    <w:top w:type="dxa" w:w="100"/>
                    <w:left w:type="dxa" w:w="120"/>
                    <w:bottom w:type="dxa" w:w="100"/>
                    <w:right w:type="dxa" w:w="120"/>
                  </w:tcMar>
                  <w:vAlign w:val="center"/>
                </w:tcPr>
                <w:p>
                  <w:r>
                    <w:rPr>
                      <w:b/>
                      <w:bCs/>
                      <w:color w:val="FFFFFF"/>
                      <w:sz w:val="19"/>
                      <w:szCs w:val="19"/>
                    </w:rPr>
                    <w:t xml:space="preserve">Patroon</w:t>
                  </w:r>
                </w:p>
              </w:tc>
              <w:tc>
                <w:tcPr>
                  <w:tcW w:type="dxa" w:w="3300"/>
                  <w:shd w:fill="1F3A5F" w:val="clear"/>
                  <w:tcMar>
                    <w:top w:type="dxa" w:w="100"/>
                    <w:left w:type="dxa" w:w="120"/>
                    <w:bottom w:type="dxa" w:w="100"/>
                    <w:right w:type="dxa" w:w="120"/>
                  </w:tcMar>
                  <w:vAlign w:val="center"/>
                </w:tcPr>
                <w:p>
                  <w:r>
                    <w:rPr>
                      <w:b/>
                      <w:bCs/>
                      <w:color w:val="FFFFFF"/>
                      <w:sz w:val="19"/>
                      <w:szCs w:val="19"/>
                    </w:rPr>
                    <w:t xml:space="preserve">Wie past zich aan</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Mutatieverwerking ↔ rechtenbepaling</w:t>
                  </w:r>
                </w:p>
              </w:tc>
              <w:tc>
                <w:tcPr>
                  <w:tcW w:type="dxa" w:w="3300"/>
                  <w:tcMar>
                    <w:top w:type="dxa" w:w="100"/>
                    <w:left w:type="dxa" w:w="120"/>
                    <w:bottom w:type="dxa" w:w="100"/>
                    <w:right w:type="dxa" w:w="120"/>
                  </w:tcMar>
                  <w:vAlign w:val="center"/>
                </w:tcPr>
                <w:p>
                  <w:r>
                    <w:rPr>
                      <w:b w:val="false"/>
                      <w:bCs w:val="false"/>
                      <w:color w:val="1F2937"/>
                      <w:sz w:val="19"/>
                      <w:szCs w:val="19"/>
                    </w:rPr>
                    <w:t xml:space="preserve">Partnership</w:t>
                  </w:r>
                </w:p>
              </w:tc>
              <w:tc>
                <w:tcPr>
                  <w:tcW w:type="dxa" w:w="3300"/>
                  <w:tcMar>
                    <w:top w:type="dxa" w:w="100"/>
                    <w:left w:type="dxa" w:w="120"/>
                    <w:bottom w:type="dxa" w:w="100"/>
                    <w:right w:type="dxa" w:w="120"/>
                  </w:tcMar>
                  <w:vAlign w:val="center"/>
                </w:tcPr>
                <w:p>
                  <w:r>
                    <w:rPr>
                      <w:b w:val="false"/>
                      <w:bCs w:val="false"/>
                      <w:color w:val="1F2937"/>
                      <w:sz w:val="19"/>
                      <w:szCs w:val="19"/>
                    </w:rPr>
                    <w:t xml:space="preserve">Beide; zij slagen of falen samen</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Rechtenbepaling → correspondentie</w:t>
                  </w:r>
                </w:p>
              </w:tc>
              <w:tc>
                <w:tcPr>
                  <w:tcW w:type="dxa" w:w="3300"/>
                  <w:tcMar>
                    <w:top w:type="dxa" w:w="100"/>
                    <w:left w:type="dxa" w:w="120"/>
                    <w:bottom w:type="dxa" w:w="100"/>
                    <w:right w:type="dxa" w:w="120"/>
                  </w:tcMar>
                  <w:vAlign w:val="center"/>
                </w:tcPr>
                <w:p>
                  <w:r>
                    <w:rPr>
                      <w:b w:val="false"/>
                      <w:bCs w:val="false"/>
                      <w:color w:val="1F2937"/>
                      <w:sz w:val="19"/>
                      <w:szCs w:val="19"/>
                    </w:rPr>
                    <w:t xml:space="preserve">Customer–supplier</w:t>
                  </w:r>
                </w:p>
              </w:tc>
              <w:tc>
                <w:tcPr>
                  <w:tcW w:type="dxa" w:w="3300"/>
                  <w:tcMar>
                    <w:top w:type="dxa" w:w="100"/>
                    <w:left w:type="dxa" w:w="120"/>
                    <w:bottom w:type="dxa" w:w="100"/>
                    <w:right w:type="dxa" w:w="120"/>
                  </w:tcMar>
                  <w:vAlign w:val="center"/>
                </w:tcPr>
                <w:p>
                  <w:r>
                    <w:rPr>
                      <w:b w:val="false"/>
                      <w:bCs w:val="false"/>
                      <w:color w:val="1F2937"/>
                      <w:sz w:val="19"/>
                      <w:szCs w:val="19"/>
                    </w:rPr>
                    <w:t xml:space="preserve">De leverancier houdt rekening met de afnemer</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Mutatieverwerking → gebeurtenisopslag</w:t>
                  </w:r>
                </w:p>
              </w:tc>
              <w:tc>
                <w:tcPr>
                  <w:tcW w:type="dxa" w:w="3300"/>
                  <w:tcMar>
                    <w:top w:type="dxa" w:w="100"/>
                    <w:left w:type="dxa" w:w="120"/>
                    <w:bottom w:type="dxa" w:w="100"/>
                    <w:right w:type="dxa" w:w="120"/>
                  </w:tcMar>
                  <w:vAlign w:val="center"/>
                </w:tcPr>
                <w:p>
                  <w:r>
                    <w:rPr>
                      <w:b w:val="false"/>
                      <w:bCs w:val="false"/>
                      <w:color w:val="1F2937"/>
                      <w:sz w:val="19"/>
                      <w:szCs w:val="19"/>
                    </w:rPr>
                    <w:t xml:space="preserve">Customer–supplier</w:t>
                  </w:r>
                </w:p>
              </w:tc>
              <w:tc>
                <w:tcPr>
                  <w:tcW w:type="dxa" w:w="3300"/>
                  <w:tcMar>
                    <w:top w:type="dxa" w:w="100"/>
                    <w:left w:type="dxa" w:w="120"/>
                    <w:bottom w:type="dxa" w:w="100"/>
                    <w:right w:type="dxa" w:w="120"/>
                  </w:tcMar>
                  <w:vAlign w:val="center"/>
                </w:tcPr>
                <w:p>
                  <w:r>
                    <w:rPr>
                      <w:b w:val="false"/>
                      <w:bCs w:val="false"/>
                      <w:color w:val="1F2937"/>
                      <w:sz w:val="19"/>
                      <w:szCs w:val="19"/>
                    </w:rPr>
                    <w:t xml:space="preserve">De opslag volgt het model van de bron</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Mutatieverwerking → kernadministratie</w:t>
                  </w:r>
                </w:p>
              </w:tc>
              <w:tc>
                <w:tcPr>
                  <w:tcW w:type="dxa" w:w="3300"/>
                  <w:tcMar>
                    <w:top w:type="dxa" w:w="100"/>
                    <w:left w:type="dxa" w:w="120"/>
                    <w:bottom w:type="dxa" w:w="100"/>
                    <w:right w:type="dxa" w:w="120"/>
                  </w:tcMar>
                  <w:vAlign w:val="center"/>
                </w:tcPr>
                <w:p>
                  <w:r>
                    <w:rPr>
                      <w:b w:val="false"/>
                      <w:bCs w:val="false"/>
                      <w:color w:val="1F2937"/>
                      <w:sz w:val="19"/>
                      <w:szCs w:val="19"/>
                    </w:rPr>
                    <w:t xml:space="preserve">Anticorruption layer</w:t>
                  </w:r>
                </w:p>
              </w:tc>
              <w:tc>
                <w:tcPr>
                  <w:tcW w:type="dxa" w:w="3300"/>
                  <w:tcMar>
                    <w:top w:type="dxa" w:w="100"/>
                    <w:left w:type="dxa" w:w="120"/>
                    <w:bottom w:type="dxa" w:w="100"/>
                    <w:right w:type="dxa" w:w="120"/>
                  </w:tcMar>
                  <w:vAlign w:val="center"/>
                </w:tcPr>
                <w:p>
                  <w:r>
                    <w:rPr>
                      <w:b w:val="false"/>
                      <w:bCs w:val="false"/>
                      <w:color w:val="1F2937"/>
                      <w:sz w:val="19"/>
                      <w:szCs w:val="19"/>
                    </w:rPr>
                    <w:t xml:space="preserve">Wij vertalen; het pakket past zich niet aan</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Werkgeverssystemen → platform</w:t>
                  </w:r>
                </w:p>
              </w:tc>
              <w:tc>
                <w:tcPr>
                  <w:tcW w:type="dxa" w:w="3300"/>
                  <w:tcMar>
                    <w:top w:type="dxa" w:w="100"/>
                    <w:left w:type="dxa" w:w="120"/>
                    <w:bottom w:type="dxa" w:w="100"/>
                    <w:right w:type="dxa" w:w="120"/>
                  </w:tcMar>
                  <w:vAlign w:val="center"/>
                </w:tcPr>
                <w:p>
                  <w:r>
                    <w:rPr>
                      <w:b w:val="false"/>
                      <w:bCs w:val="false"/>
                      <w:color w:val="1F2937"/>
                      <w:sz w:val="19"/>
                      <w:szCs w:val="19"/>
                    </w:rPr>
                    <w:t xml:space="preserve">Open host service + published language</w:t>
                  </w:r>
                </w:p>
              </w:tc>
              <w:tc>
                <w:tcPr>
                  <w:tcW w:type="dxa" w:w="3300"/>
                  <w:tcMar>
                    <w:top w:type="dxa" w:w="100"/>
                    <w:left w:type="dxa" w:w="120"/>
                    <w:bottom w:type="dxa" w:w="100"/>
                    <w:right w:type="dxa" w:w="120"/>
                  </w:tcMar>
                  <w:vAlign w:val="center"/>
                </w:tcPr>
                <w:p>
                  <w:r>
                    <w:rPr>
                      <w:b w:val="false"/>
                      <w:bCs w:val="false"/>
                      <w:color w:val="1F2937"/>
                      <w:sz w:val="19"/>
                      <w:szCs w:val="19"/>
                    </w:rPr>
                    <w:t xml:space="preserve">Wij publiceren; zij conformeren zich</w:t>
                  </w:r>
                </w:p>
              </w:tc>
            </w:tr>
            <w:tr>
              <w:trPr>
                <w:cantSplit/>
              </w:trPr>
              <w:tc>
                <w:tcPr>
                  <w:tcW w:type="dxa" w:w="3000"/>
                  <w:tcMar>
                    <w:top w:type="dxa" w:w="100"/>
                    <w:left w:type="dxa" w:w="120"/>
                    <w:bottom w:type="dxa" w:w="100"/>
                    <w:right w:type="dxa" w:w="120"/>
                  </w:tcMar>
                  <w:vAlign w:val="center"/>
                </w:tcPr>
                <w:p>
                  <w:r>
                    <w:rPr>
                      <w:b w:val="false"/>
                      <w:bCs w:val="false"/>
                      <w:color w:val="1F2937"/>
                      <w:sz w:val="19"/>
                      <w:szCs w:val="19"/>
                    </w:rPr>
                    <w:t xml:space="preserve">Adresvalidatie</w:t>
                  </w:r>
                </w:p>
              </w:tc>
              <w:tc>
                <w:tcPr>
                  <w:tcW w:type="dxa" w:w="3300"/>
                  <w:tcMar>
                    <w:top w:type="dxa" w:w="100"/>
                    <w:left w:type="dxa" w:w="120"/>
                    <w:bottom w:type="dxa" w:w="100"/>
                    <w:right w:type="dxa" w:w="120"/>
                  </w:tcMar>
                  <w:vAlign w:val="center"/>
                </w:tcPr>
                <w:p>
                  <w:r>
                    <w:rPr>
                      <w:b w:val="false"/>
                      <w:bCs w:val="false"/>
                      <w:color w:val="1F2937"/>
                      <w:sz w:val="19"/>
                      <w:szCs w:val="19"/>
                    </w:rPr>
                    <w:t xml:space="preserve">Conformist (bewust)</w:t>
                  </w:r>
                </w:p>
              </w:tc>
              <w:tc>
                <w:tcPr>
                  <w:tcW w:type="dxa" w:w="3300"/>
                  <w:tcMar>
                    <w:top w:type="dxa" w:w="100"/>
                    <w:left w:type="dxa" w:w="120"/>
                    <w:bottom w:type="dxa" w:w="100"/>
                    <w:right w:type="dxa" w:w="120"/>
                  </w:tcMar>
                  <w:vAlign w:val="center"/>
                </w:tcPr>
                <w:p>
                  <w:r>
                    <w:rPr>
                      <w:b w:val="false"/>
                      <w:bCs w:val="false"/>
                      <w:color w:val="1F2937"/>
                      <w:sz w:val="19"/>
                      <w:szCs w:val="19"/>
                    </w:rPr>
                    <w:t xml:space="preserve">Wij nemen hun model over — het is generiek</w:t>
                  </w:r>
                </w:p>
              </w:tc>
            </w:tr>
          </w:tbl>
          <w:p>
            <w:pPr>
              <w:spacing w:after="100"/>
            </w:pPr>
          </w:p>
          <w:p>
            <w:pPr>
              <w:spacing w:after="120" w:line="276"/>
            </w:pPr>
            <w:r>
              <w:rPr>
                <w:color w:val="1F2937"/>
                <w:sz w:val="21"/>
                <w:szCs w:val="21"/>
              </w:rPr>
              <w:t xml:space="preserve">De laatste is een goede discussie: conformist is doorgaans ongewenst, maar bij een generiek subdomein is het de juiste keuze. Wie zich verzet tegen het model van een postcodedienst, bouwt een abstractie zonder beslissing.</w:t>
            </w:r>
          </w:p>
          <w:p>
            <w:pPr>
              <w:spacing w:after="120" w:line="276"/>
            </w:pPr>
            <w:r>
              <w:rPr>
                <w:b/>
                <w:bCs/>
                <w:color w:val="1F2937"/>
                <w:sz w:val="21"/>
                <w:szCs w:val="21"/>
              </w:rPr>
              <w:t xml:space="preserve">c) Waarom anticorruption layer en geen conformist?</w:t>
            </w:r>
            <w:r>
              <w:rPr>
                <w:color w:val="1F2937"/>
                <w:sz w:val="21"/>
                <w:szCs w:val="21"/>
              </w:rPr>
              <w:t xml:space="preserve"> Omdat het kernadministratiepakket over vier jaar vervangen kan worden, en omdat zijn model — SOAP-berichten, hoofdlettereisen, tweeledige mutaties — niets met het domein van Meridiaan te maken heeft maar met de bouwgeschiedenis van dat pakket.</w:t>
            </w:r>
          </w:p>
          <w:p>
            <w:pPr>
              <w:spacing w:after="120" w:line="276"/>
            </w:pPr>
            <w:r>
              <w:rPr>
                <w:color w:val="1F2937"/>
                <w:sz w:val="21"/>
                <w:szCs w:val="21"/>
              </w:rPr>
              <w:t xml:space="preserve">Als u het conformist liet worden, sijpelen die eigenaardigheden het domein binnen. Na twee jaar heeft uw mutatiemodel velden die er alleen zijn omdat het pakket ze wil, en dan is vervanging een systeembrede verbouwing in plaats van een adapterwissel. Dat is exact wat het contract uit deel 3 en 4 voorkwam.</w:t>
            </w:r>
          </w:p>
          <w:p>
            <w:pPr>
              <w:spacing w:after="120" w:line="276"/>
            </w:pPr>
            <w:r>
              <w:rPr>
                <w:b/>
                <w:bCs/>
                <w:color w:val="1F2937"/>
                <w:sz w:val="21"/>
                <w:szCs w:val="21"/>
              </w:rPr>
              <w:t xml:space="preserve">d) Open host service versus published language.</w:t>
            </w:r>
            <w:r>
              <w:rPr>
                <w:color w:val="1F2937"/>
                <w:sz w:val="21"/>
                <w:szCs w:val="21"/>
              </w:rPr>
              <w:t xml:space="preserve"> De open host service is het koppelvlak: één gepubliceerde ingang voor alle werkgevers, in plaats van maatwerk per werkgever. De published language is het formaat: de expliciet vastgelegde uitwisselingstaal.</w:t>
            </w:r>
          </w:p>
          <w:p>
            <w:pPr>
              <w:spacing w:after="120" w:line="276"/>
            </w:pPr>
            <w:r>
              <w:rPr>
                <w:color w:val="1F2937"/>
                <w:sz w:val="21"/>
                <w:szCs w:val="21"/>
              </w:rPr>
              <w:t xml:space="preserve">Het versiebeleid wordt bepaald door de published language. Zodra elf werkgeverssystemen zich aan uw formaat hebben aangepast, kunt u het niet meer eenzijdig wijzigen — u hebt een compatibiliteitsverplichting die u niet had toen elke werkgever maatwerk kreeg. Dat is de prijs van standaardisatie en zij hoort in een ADR.</w:t>
            </w:r>
          </w:p>
          <w:p>
            <w:pPr>
              <w:spacing w:after="120" w:line="276"/>
            </w:pPr>
            <w:r>
              <w:rPr>
                <w:b/>
                <w:bCs/>
                <w:color w:val="1F2937"/>
                <w:sz w:val="21"/>
                <w:szCs w:val="21"/>
              </w:rPr>
              <w:t xml:space="preserve">e) Contexten versus modules.</w:t>
            </w:r>
            <w:r>
              <w:rPr>
                <w:color w:val="1F2937"/>
                <w:sz w:val="21"/>
                <w:szCs w:val="21"/>
              </w:rPr>
              <w:t xml:space="preserve"> De belangrijkste uitkomst: zij vallen niet samen, en dat is normaal.</w:t>
            </w:r>
          </w:p>
          <w:p>
            <w:pPr>
              <w:spacing w:after="120" w:line="276"/>
            </w:pPr>
            <w:r>
              <w:rPr>
                <w:color w:val="1F2937"/>
                <w:sz w:val="21"/>
                <w:szCs w:val="21"/>
              </w:rPr>
              <w:t xml:space="preserve">De zes mutatiesoortmodules uit deel 5 leven samen binnen één bounded context (mutatieverwerking). De rechtenbepaling is één module en één context. De kernadministratie-integratie is één module maar géén eigen context — zij is een anticorruption layer óp de rand van de mutatiecontext.</w:t>
            </w:r>
          </w:p>
          <w:p>
            <w:pPr>
              <w:spacing w:after="120" w:line="276"/>
            </w:pPr>
            <w:r>
              <w:rPr>
                <w:b/>
                <w:bCs/>
                <w:color w:val="1F2937"/>
                <w:sz w:val="21"/>
                <w:szCs w:val="21"/>
              </w:rPr>
              <w:t xml:space="preserve">De regel: </w:t>
            </w:r>
            <w:r>
              <w:rPr>
                <w:color w:val="1F2937"/>
                <w:sz w:val="21"/>
                <w:szCs w:val="21"/>
              </w:rPr>
              <w:t xml:space="preserve">een bounded context bevat één of meer modules; een module hoort bij precies één context. Waar een module twee contexten bedient, hebt u een grens gemist — en dat is precies wat het partnerobject deed.</w:t>
            </w:r>
          </w:p>
        </w:tc>
      </w:tr>
    </w:tbl>
    <w:p>
      <w:pPr>
        <w:spacing w:after="300"/>
      </w:pPr>
    </w:p>
    <w:p>
      <w:pPr>
        <w:pStyle w:val="Heading1"/>
        <w:pBdr>
          <w:bottom w:val="single" w:color="E5E7EB" w:sz="6" w:space="6"/>
        </w:pBdr>
        <w:spacing w:after="180" w:before="380"/>
      </w:pPr>
      <w:r>
        <w:rPr>
          <w:b/>
          <w:bCs/>
          <w:color w:val="1F3A5F"/>
          <w:sz w:val="30"/>
          <w:szCs w:val="30"/>
        </w:rPr>
        <w:t xml:space="preserve">Opdracht 11.6 — Wanneer niet? (duo's, 20 minuten)</w:t>
      </w:r>
    </w:p>
    <w:p>
      <w:pPr>
        <w:spacing w:after="160" w:line="276"/>
      </w:pPr>
      <w:r>
        <w:rPr>
          <w:color w:val="1F2937"/>
          <w:sz w:val="22"/>
          <w:szCs w:val="22"/>
        </w:rPr>
        <w:t xml:space="preserve">Beoordeel per situatie of strategisch DDD loont. Antwoord met loont, loont niet of gedeeltelijk en motiveer.</w:t>
      </w:r>
    </w:p>
    <w:p>
      <w:pPr>
        <w:pStyle w:val="ListParagraph"/>
        <w:numPr>
          <w:ilvl w:val="0"/>
          <w:numId w:val="4"/>
        </w:numPr>
        <w:spacing w:after="120"/>
      </w:pPr>
      <w:r>
        <w:rPr>
          <w:color w:val="1F2937"/>
          <w:sz w:val="22"/>
          <w:szCs w:val="22"/>
        </w:rPr>
        <w:t xml:space="preserve">Een intern declaratiesysteem, één team, 600 gebruikers, één betekenis per begrip.</w:t>
      </w:r>
    </w:p>
    <w:p>
      <w:pPr>
        <w:pStyle w:val="ListParagraph"/>
        <w:numPr>
          <w:ilvl w:val="0"/>
          <w:numId w:val="4"/>
        </w:numPr>
        <w:spacing w:after="120"/>
      </w:pPr>
      <w:r>
        <w:rPr>
          <w:color w:val="1F2937"/>
          <w:sz w:val="22"/>
          <w:szCs w:val="22"/>
        </w:rPr>
        <w:t xml:space="preserve">Het Mutatieplatform.</w:t>
      </w:r>
    </w:p>
    <w:p>
      <w:pPr>
        <w:pStyle w:val="ListParagraph"/>
        <w:numPr>
          <w:ilvl w:val="0"/>
          <w:numId w:val="4"/>
        </w:numPr>
        <w:spacing w:after="120"/>
      </w:pPr>
      <w:r>
        <w:rPr>
          <w:color w:val="1F2937"/>
          <w:sz w:val="22"/>
          <w:szCs w:val="22"/>
        </w:rPr>
        <w:t xml:space="preserve">Een vervanging van de kernadministratie van Meridiaan.</w:t>
      </w:r>
    </w:p>
    <w:p>
      <w:pPr>
        <w:pStyle w:val="ListParagraph"/>
        <w:numPr>
          <w:ilvl w:val="0"/>
          <w:numId w:val="4"/>
        </w:numPr>
        <w:spacing w:after="120"/>
      </w:pPr>
      <w:r>
        <w:rPr>
          <w:color w:val="1F2937"/>
          <w:sz w:val="22"/>
          <w:szCs w:val="22"/>
        </w:rPr>
        <w:t xml:space="preserve">Een koppelvlaklaag die drie bestaande systemen ontsluit, zonder eigen logica.</w:t>
      </w:r>
    </w:p>
    <w:p>
      <w:pPr>
        <w:pStyle w:val="ListParagraph"/>
        <w:numPr>
          <w:ilvl w:val="0"/>
          <w:numId w:val="4"/>
        </w:numPr>
        <w:spacing w:after="120"/>
      </w:pPr>
      <w:r>
        <w:rPr>
          <w:color w:val="1F2937"/>
          <w:sz w:val="22"/>
          <w:szCs w:val="22"/>
        </w:rPr>
        <w:t xml:space="preserve">Een greenfield-systeem in een domein waar de organisatie zelf nog uitvindt hoe het werkt.</w:t>
      </w:r>
    </w:p>
    <w:p>
      <w:pPr>
        <w:pStyle w:val="ListParagraph"/>
        <w:numPr>
          <w:ilvl w:val="0"/>
          <w:numId w:val="4"/>
        </w:numPr>
        <w:spacing w:after="120"/>
      </w:pPr>
      <w:r>
        <w:rPr>
          <w:color w:val="1F2937"/>
          <w:sz w:val="22"/>
          <w:szCs w:val="22"/>
        </w:rPr>
        <w:t xml:space="preserve">Een systeem dat wordt gebouwd door een extern team zonder toegang tot domeindeskundigen.</w:t>
      </w:r>
    </w:p>
    <w:p>
      <w:pPr>
        <w:spacing w:after="160" w:line="276"/>
      </w:pPr>
      <w:r>
        <w:rPr>
          <w:color w:val="1F2937"/>
          <w:sz w:val="22"/>
          <w:szCs w:val="22"/>
        </w:rPr>
        <w:t xml:space="preserve">Situatie 5 is de lastigste en verdient uw beste antwoord.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11.6</w:t>
            </w:r>
          </w:p>
          <w:p>
            <w:pPr>
              <w:spacing w:after="80"/>
            </w:pPr>
          </w:p>
          <w:p>
            <w:pPr>
              <w:pStyle w:val="ListParagraph"/>
              <w:numPr>
                <w:ilvl w:val="0"/>
                <w:numId w:val="5"/>
              </w:numPr>
              <w:spacing w:after="120"/>
            </w:pPr>
            <w:r>
              <w:rPr>
                <w:b/>
                <w:bCs/>
                <w:color w:val="1F2937"/>
                <w:sz w:val="22"/>
                <w:szCs w:val="22"/>
              </w:rPr>
              <w:t xml:space="preserve">Loont niet.</w:t>
            </w:r>
            <w:r>
              <w:rPr>
                <w:color w:val="1F2937"/>
                <w:sz w:val="22"/>
                <w:szCs w:val="22"/>
              </w:rPr>
              <w:t xml:space="preserve"> Eén betekenis per begrip, klein team. De begrippenlijst uit deel 7 volstaat.</w:t>
            </w:r>
          </w:p>
          <w:p>
            <w:pPr>
              <w:pStyle w:val="ListParagraph"/>
              <w:numPr>
                <w:ilvl w:val="0"/>
                <w:numId w:val="5"/>
              </w:numPr>
              <w:spacing w:after="120"/>
            </w:pPr>
            <w:r>
              <w:rPr>
                <w:b/>
                <w:bCs/>
                <w:color w:val="1F2937"/>
                <w:sz w:val="22"/>
                <w:szCs w:val="22"/>
              </w:rPr>
              <w:t xml:space="preserve">Loont.</w:t>
            </w:r>
            <w:r>
              <w:rPr>
                <w:color w:val="1F2937"/>
                <w:sz w:val="22"/>
                <w:szCs w:val="22"/>
              </w:rPr>
              <w:t xml:space="preserve"> Complex domein, complexiteit is het vak, begripsverwarring aantoonbaar, deskundigen beschikbaar.</w:t>
            </w:r>
          </w:p>
          <w:p>
            <w:pPr>
              <w:pStyle w:val="ListParagraph"/>
              <w:numPr>
                <w:ilvl w:val="0"/>
                <w:numId w:val="5"/>
              </w:numPr>
              <w:spacing w:after="120"/>
            </w:pPr>
            <w:r>
              <w:rPr>
                <w:b/>
                <w:bCs/>
                <w:color w:val="1F2937"/>
                <w:sz w:val="22"/>
                <w:szCs w:val="22"/>
              </w:rPr>
              <w:t xml:space="preserve">Loont, </w:t>
            </w:r>
            <w:r>
              <w:rPr>
                <w:color w:val="1F2937"/>
                <w:sz w:val="22"/>
                <w:szCs w:val="22"/>
              </w:rPr>
              <w:t xml:space="preserve">en zwaar — dit is het kerndomein van de hele organisatie. Ook het grootste risico: een kernadministratievervanging zonder domeinmodellering is de klassieke mislukking in deze sector.</w:t>
            </w:r>
          </w:p>
          <w:p>
            <w:pPr>
              <w:pStyle w:val="ListParagraph"/>
              <w:numPr>
                <w:ilvl w:val="0"/>
                <w:numId w:val="5"/>
              </w:numPr>
              <w:spacing w:after="120"/>
            </w:pPr>
            <w:r>
              <w:rPr>
                <w:b/>
                <w:bCs/>
                <w:color w:val="1F2937"/>
                <w:sz w:val="22"/>
                <w:szCs w:val="22"/>
              </w:rPr>
              <w:t xml:space="preserve">Loont niet.</w:t>
            </w:r>
            <w:r>
              <w:rPr>
                <w:color w:val="1F2937"/>
                <w:sz w:val="22"/>
                <w:szCs w:val="22"/>
              </w:rPr>
              <w:t xml:space="preserve"> Een koppelvlaklaag zonder eigen logica heeft geen domein om te modelleren. Wat wel loont, is de vertaalvraag: welke modellen komen hier samen en wie past zich aan?</w:t>
            </w:r>
          </w:p>
          <w:p>
            <w:pPr>
              <w:pStyle w:val="ListParagraph"/>
              <w:numPr>
                <w:ilvl w:val="0"/>
                <w:numId w:val="5"/>
              </w:numPr>
              <w:spacing w:after="120"/>
            </w:pPr>
            <w:r>
              <w:rPr>
                <w:b/>
                <w:bCs/>
                <w:color w:val="1F2937"/>
                <w:sz w:val="22"/>
                <w:szCs w:val="22"/>
              </w:rPr>
              <w:t xml:space="preserve">Gedeeltelijk, </w:t>
            </w:r>
            <w:r>
              <w:rPr>
                <w:color w:val="1F2937"/>
                <w:sz w:val="22"/>
                <w:szCs w:val="22"/>
              </w:rPr>
              <w:t xml:space="preserve">en dit is het lastigste geval. Waar de organisatie zelf nog uitvindt hoe het domein werkt, is er geen stabiele ubiquitous language om vast te leggen. DDD toepassen levert dan een model op dat de eerste hypothese vastlegt en daarna in de weg zit.</w:t>
            </w:r>
          </w:p>
          <w:p>
            <w:pPr>
              <w:spacing w:after="120" w:line="276"/>
            </w:pPr>
            <w:r>
              <w:rPr>
                <w:color w:val="1F2937"/>
                <w:sz w:val="21"/>
                <w:szCs w:val="21"/>
              </w:rPr>
              <w:t xml:space="preserve">Het verdedigbare antwoord: gebruik de werkvorm (gebeurtenissen uitschrijven, taal opsporen) om het domein te verkennen, maar leg de contextgrenzen nog niet vast in code en zeker niet in koppelvlakken. Houd de architectuur goedkoop te herzien — dat is het monoliet-argument uit deel 5, hier op domeinniveau.</w:t>
            </w:r>
          </w:p>
          <w:p>
            <w:pPr>
              <w:pStyle w:val="ListParagraph"/>
              <w:numPr>
                <w:ilvl w:val="0"/>
                <w:numId w:val="5"/>
              </w:numPr>
              <w:spacing w:after="120"/>
            </w:pPr>
            <w:r>
              <w:rPr>
                <w:b/>
                <w:bCs/>
                <w:color w:val="1F2937"/>
                <w:sz w:val="22"/>
                <w:szCs w:val="22"/>
              </w:rPr>
              <w:t xml:space="preserve">Loont niet, </w:t>
            </w:r>
            <w:r>
              <w:rPr>
                <w:color w:val="1F2937"/>
                <w:sz w:val="22"/>
                <w:szCs w:val="22"/>
              </w:rPr>
              <w:t xml:space="preserve">en dit is de belangrijkste van de zes. DDD zonder toegang tot domeindeskundigen wordt modelleren op basis van vermoedens, met domeinnamen die precies klinken en niets betekenen. Dat is misleidender dan neutrale techniektaal.</w:t>
            </w:r>
          </w:p>
          <w:p>
            <w:pPr>
              <w:spacing w:after="120" w:line="276"/>
            </w:pPr>
            <w:r>
              <w:rPr>
                <w:color w:val="1F2937"/>
                <w:sz w:val="21"/>
                <w:szCs w:val="21"/>
              </w:rPr>
              <w:t xml:space="preserve">Dit was de situatie van Mutatie 1.0: een extern team met beperkte toegang tot de operatie. Wie in die situatie DDD voorschrijft, verergert het probleem.</w:t>
            </w:r>
          </w:p>
        </w:tc>
      </w:tr>
    </w:tbl>
    <w:p>
      <w:pPr>
        <w:spacing w:after="300"/>
      </w:pPr>
    </w:p>
    <w:p>
      <w:pPr>
        <w:pStyle w:val="Heading1"/>
        <w:pBdr>
          <w:bottom w:val="single" w:color="E5E7EB" w:sz="6" w:space="6"/>
        </w:pBdr>
        <w:spacing w:after="180" w:before="380"/>
      </w:pPr>
      <w:r>
        <w:rPr>
          <w:b/>
          <w:bCs/>
          <w:color w:val="1F3A5F"/>
          <w:sz w:val="30"/>
          <w:szCs w:val="30"/>
        </w:rPr>
        <w:t xml:space="preserve">Opdracht 11.7 — Uw eigen domein (individueel huiswerk, 45 minuten)</w:t>
      </w:r>
    </w:p>
    <w:p>
      <w:pPr>
        <w:spacing w:after="160" w:line="276"/>
      </w:pPr>
      <w:r>
        <w:rPr>
          <w:color w:val="1F2937"/>
          <w:sz w:val="22"/>
          <w:szCs w:val="22"/>
        </w:rPr>
        <w:t xml:space="preserve">a) Neem een begrip uit uw eigen organisatie dat in meerdere afdelingen voorkomt. Beschrijf per afdeling wat men ermee bedoelt.</w:t>
      </w:r>
    </w:p>
    <w:p>
      <w:pPr>
        <w:spacing w:after="160" w:line="276"/>
      </w:pPr>
      <w:r>
        <w:rPr>
          <w:color w:val="1F2937"/>
          <w:sz w:val="22"/>
          <w:szCs w:val="22"/>
        </w:rPr>
        <w:t xml:space="preserve">b) Hoeveel bounded contexts ziet u op grond daarvan? Waar loopt de grens?</w:t>
      </w:r>
    </w:p>
    <w:p>
      <w:pPr>
        <w:spacing w:after="160" w:line="276"/>
      </w:pPr>
      <w:r>
        <w:rPr>
          <w:color w:val="1F2937"/>
          <w:sz w:val="22"/>
          <w:szCs w:val="22"/>
        </w:rPr>
        <w:t xml:space="preserve">c) Kijk naar uw eigen systeem: is er ergens een object dat te veel contexten tegelijk bedient? Hoeveel velden heeft het, en hoeveel worden er per gebruik echt gebruikt?</w:t>
      </w:r>
    </w:p>
    <w:p>
      <w:pPr>
        <w:spacing w:after="160" w:line="276"/>
      </w:pPr>
      <w:r>
        <w:rPr>
          <w:color w:val="1F2937"/>
          <w:sz w:val="22"/>
          <w:szCs w:val="22"/>
        </w:rPr>
        <w:t xml:space="preserve">d) Classificeer de subdomeinen van uw organisatie. Waar wordt zelf gebouwd wat gekocht kon worden? Waar wordt gekocht wat het vak van de organisatie is?</w:t>
      </w:r>
    </w:p>
    <w:p>
      <w:pPr>
        <w:spacing w:after="160" w:line="276"/>
      </w:pPr>
      <w:r>
        <w:rPr>
          <w:color w:val="1F2937"/>
          <w:sz w:val="22"/>
          <w:szCs w:val="22"/>
        </w:rPr>
        <w:t xml:space="preserve">Onderdeel d) is voor consultants het interessantst en is bij klanten vaak direct bruikbaar.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11.7</w:t>
            </w:r>
          </w:p>
          <w:p>
            <w:pPr>
              <w:spacing w:after="80"/>
            </w:pPr>
          </w:p>
          <w:p>
            <w:pPr>
              <w:spacing w:after="120" w:line="276"/>
            </w:pPr>
            <w:r>
              <w:rPr>
                <w:color w:val="1F2937"/>
                <w:sz w:val="21"/>
                <w:szCs w:val="21"/>
              </w:rPr>
              <w:t xml:space="preserve">Individueel. Bij c) is de gebruikelijke uitkomst een object met vijftien tot veertig velden waarvan er per gebruik vijf tot acht relevant zijn — dezelfde verhouding als in bijlage AA. Dat is geen toeval; het is de standaardvorm waarin dit probleem zich manifesteert.</w:t>
            </w:r>
          </w:p>
          <w:p>
            <w:pPr>
              <w:spacing w:after="120" w:line="276"/>
            </w:pPr>
            <w:r>
              <w:rPr>
                <w:color w:val="1F2937"/>
                <w:sz w:val="21"/>
                <w:szCs w:val="21"/>
              </w:rPr>
              <w:t xml:space="preserve">Bij d) leveren consultants doorgaans het scherpste materiaal, en de meest voorkomende bevinding is de omgekeerde: organisaties bouwen zelf hun rapportage, hun toegangsbeheer en hun berichtenverzending, en kopen een pakket voor het proces dat hun vak is. De reden is bijna altijd historisch en zelden nog geldig.</w:t>
            </w:r>
          </w:p>
        </w:tc>
      </w:tr>
    </w:tbl>
    <w:p>
      <w:pPr>
        <w:pBdr>
          <w:top w:val="single" w:color="E5E7EB" w:sz="4" w:space="8"/>
        </w:pBdr>
        <w:spacing w:before="400"/>
        <w:jc w:val="center"/>
      </w:pPr>
      <w:r>
        <w:rPr>
          <w:i/>
          <w:iCs/>
          <w:color w:val="6B7280"/>
          <w:sz w:val="17"/>
          <w:szCs w:val="17"/>
        </w:rPr>
        <w:t xml:space="preserve">Ductus B.V. · Cursus Softwarearchitectuur · Niveau 2, deel 11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11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2026-08-17T14:49:20.871Z</dcterms:created>
  <dcterms:modified xsi:type="dcterms:W3CDTF">2026-08-17T14:49:20.872Z</dcterms:modified>
</cp:coreProperties>
</file>

<file path=docProps/custom.xml><?xml version="1.0" encoding="utf-8"?>
<Properties xmlns="http://schemas.openxmlformats.org/officeDocument/2006/custom-properties" xmlns:vt="http://schemas.openxmlformats.org/officeDocument/2006/docPropsVTypes"/>
</file>