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12 — Tactisch domeingedreven ontwerp en de modulith</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12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ambachtelijkste deel van de eerste helft van niveau 2, en het is het deel waarin de cursus voor het eerst dicht tegen de code aan komt.</w:t>
      </w:r>
    </w:p>
    <w:p>
      <w:pPr>
        <w:spacing w:after="160" w:line="276"/>
      </w:pPr>
      <w:r>
        <w:rPr>
          <w:b/>
          <w:bCs/>
          <w:color w:val="1F2937"/>
          <w:sz w:val="22"/>
          <w:szCs w:val="22"/>
        </w:rPr>
        <w:t xml:space="preserve">Twee inhoudelijke zwaartepunten:</w:t>
      </w:r>
      <w:r>
        <w:rPr>
          <w:color w:val="1F2937"/>
          <w:sz w:val="22"/>
          <w:szCs w:val="22"/>
        </w:rPr>
        <w:t xml:space="preserve"/>
      </w:r>
    </w:p>
    <w:p>
      <w:pPr>
        <w:pStyle w:val="ListParagraph"/>
        <w:numPr>
          <w:ilvl w:val="0"/>
          <w:numId w:val="2"/>
        </w:numPr>
        <w:spacing w:after="120"/>
      </w:pPr>
      <w:r>
        <w:rPr>
          <w:b/>
          <w:bCs/>
          <w:color w:val="1F2937"/>
          <w:sz w:val="22"/>
          <w:szCs w:val="22"/>
        </w:rPr>
        <w:t xml:space="preserve">Het aggregaat als consistentiegrens.</w:t>
      </w:r>
      <w:r>
        <w:rPr>
          <w:color w:val="1F2937"/>
          <w:sz w:val="22"/>
          <w:szCs w:val="22"/>
        </w:rPr>
        <w:t xml:space="preserve"> Dit is het moeilijkste begrip van niveau 2 en het meest verkeerd begrepen begrip in DDD als geheel. Teams denken dat een aggregaat een structuurkeuze is ("wat hoort bij elkaar") terwijl het een consistentiekeuze is ("wat moet op elk moment kloppen"). Als deelnemers na dit dagdeel één ding meenemen, moet het die omkering zijn.</w:t>
      </w:r>
    </w:p>
    <w:p>
      <w:pPr>
        <w:pStyle w:val="ListParagraph"/>
        <w:numPr>
          <w:ilvl w:val="0"/>
          <w:numId w:val="2"/>
        </w:numPr>
        <w:spacing w:after="120"/>
      </w:pPr>
      <w:r>
        <w:rPr>
          <w:b/>
          <w:bCs/>
          <w:color w:val="1F2937"/>
          <w:sz w:val="22"/>
          <w:szCs w:val="22"/>
        </w:rPr>
        <w:t xml:space="preserve">De vertaling naar de modulith.</w:t>
      </w:r>
      <w:r>
        <w:rPr>
          <w:color w:val="1F2937"/>
          <w:sz w:val="22"/>
          <w:szCs w:val="22"/>
        </w:rPr>
        <w:t xml:space="preserve"> Zonder die vertaling blijft DDD een modelleeroefening. Paragraaf 12.5 en opdracht 12.5 maken het concreet en verbinden terug met de handhavingsladder uit deel 9.</w:t>
      </w:r>
    </w:p>
    <w:p>
      <w:pPr>
        <w:spacing w:after="160" w:line="276"/>
      </w:pPr>
      <w:r>
        <w:rPr>
          <w:b/>
          <w:bCs/>
          <w:color w:val="1F2937"/>
          <w:sz w:val="22"/>
          <w:szCs w:val="22"/>
        </w:rPr>
        <w:t xml:space="preserve">De valkuil van dit deel is de tegenovergestelde van deel 11.</w:t>
      </w:r>
      <w:r>
        <w:rPr>
          <w:color w:val="1F2937"/>
          <w:sz w:val="22"/>
          <w:szCs w:val="22"/>
        </w:rPr>
        <w:t xml:space="preserve"> Waar deel 11 risico loopt op bekeringsijver, loopt dit deel risico op dogmatiek: deelnemers gaan de vier aggregaatregels toepassen als voorschriften in plaats van als gevolgen van één principe. Blijf terugverwijzen naar de consistentievraag; de regels zijn afleidingen, geen wet.</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300"/>
            <w:tcMar>
              <w:top w:type="dxa" w:w="100"/>
              <w:left w:type="dxa" w:w="120"/>
              <w:bottom w:type="dxa" w:w="100"/>
              <w:right w:type="dxa" w:w="120"/>
            </w:tcMar>
            <w:vAlign w:val="center"/>
          </w:tcPr>
          <w:p>
            <w:r>
              <w:rPr>
                <w:b w:val="false"/>
                <w:bCs w:val="false"/>
                <w:color w:val="1F2937"/>
                <w:sz w:val="19"/>
                <w:szCs w:val="19"/>
              </w:rPr>
              <w:t xml:space="preserve">Terugblik deel 11; sprint 5 en de twee symptomen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0:15–0:35</w:t>
            </w:r>
          </w:p>
        </w:tc>
        <w:tc>
          <w:tcPr>
            <w:tcW w:type="dxa" w:w="4300"/>
            <w:tcMar>
              <w:top w:type="dxa" w:w="100"/>
              <w:left w:type="dxa" w:w="120"/>
              <w:bottom w:type="dxa" w:w="100"/>
              <w:right w:type="dxa" w:w="120"/>
            </w:tcMar>
            <w:vAlign w:val="center"/>
          </w:tcPr>
          <w:p>
            <w:r>
              <w:rPr>
                <w:b w:val="false"/>
                <w:bCs w:val="false"/>
                <w:color w:val="1F2937"/>
                <w:sz w:val="19"/>
                <w:szCs w:val="19"/>
              </w:rPr>
              <w:t xml:space="preserve">Entiteit en waardeobject; de drie gevolgen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6–9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0:35–0:55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12.1 — classificeren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0:55–1:05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1:05–1:30</w:t>
            </w:r>
          </w:p>
        </w:tc>
        <w:tc>
          <w:tcPr>
            <w:tcW w:type="dxa" w:w="4300"/>
            <w:tcMar>
              <w:top w:type="dxa" w:w="100"/>
              <w:left w:type="dxa" w:w="120"/>
              <w:bottom w:type="dxa" w:w="100"/>
              <w:right w:type="dxa" w:w="120"/>
            </w:tcMar>
            <w:vAlign w:val="center"/>
          </w:tcPr>
          <w:p>
            <w:r>
              <w:rPr>
                <w:b w:val="false"/>
                <w:bCs w:val="false"/>
                <w:color w:val="1F2937"/>
                <w:sz w:val="19"/>
                <w:szCs w:val="19"/>
              </w:rPr>
              <w:t xml:space="preserve">Het aggregaat: de consistentievraag en de vier regels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11–17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1:30–2:10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12.2 — aggregaatgrenzen bepalen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18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2:10–2:20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2:20–2:35</w:t>
            </w:r>
          </w:p>
        </w:tc>
        <w:tc>
          <w:tcPr>
            <w:tcW w:type="dxa" w:w="4300"/>
            <w:tcMar>
              <w:top w:type="dxa" w:w="100"/>
              <w:left w:type="dxa" w:w="120"/>
              <w:bottom w:type="dxa" w:w="100"/>
              <w:right w:type="dxa" w:w="120"/>
            </w:tcMar>
            <w:vAlign w:val="center"/>
          </w:tcPr>
          <w:p>
            <w:r>
              <w:rPr>
                <w:b w:val="false"/>
                <w:bCs w:val="false"/>
                <w:color w:val="1F2937"/>
                <w:sz w:val="19"/>
                <w:szCs w:val="19"/>
              </w:rPr>
              <w:t xml:space="preserve">De overige bouwstenen; domeingebeurtenissen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19–22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2:35–2:55</w:t>
            </w:r>
          </w:p>
        </w:tc>
        <w:tc>
          <w:tcPr>
            <w:tcW w:type="dxa" w:w="4300"/>
            <w:tcMar>
              <w:top w:type="dxa" w:w="100"/>
              <w:left w:type="dxa" w:w="120"/>
              <w:bottom w:type="dxa" w:w="100"/>
              <w:right w:type="dxa" w:w="120"/>
            </w:tcMar>
            <w:vAlign w:val="center"/>
          </w:tcPr>
          <w:p>
            <w:r>
              <w:rPr>
                <w:b w:val="false"/>
                <w:bCs w:val="false"/>
                <w:color w:val="1F2937"/>
                <w:sz w:val="19"/>
                <w:szCs w:val="19"/>
              </w:rPr>
              <w:t xml:space="preserve">Van aggregaten naar modules; handhaving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23–26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2:55–3:25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12.5 — van aggregaten naar modules</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27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3:25–3:45</w:t>
            </w:r>
          </w:p>
        </w:tc>
        <w:tc>
          <w:tcPr>
            <w:tcW w:type="dxa" w:w="4300"/>
            <w:tcMar>
              <w:top w:type="dxa" w:w="100"/>
              <w:left w:type="dxa" w:w="120"/>
              <w:bottom w:type="dxa" w:w="100"/>
              <w:right w:type="dxa" w:w="120"/>
            </w:tcMar>
            <w:vAlign w:val="center"/>
          </w:tcPr>
          <w:p>
            <w:r>
              <w:rPr>
                <w:b w:val="false"/>
                <w:bCs w:val="false"/>
                <w:color w:val="1F2937"/>
                <w:sz w:val="19"/>
                <w:szCs w:val="19"/>
              </w:rPr>
              <w:t xml:space="preserve">Het bloedarmoedige model</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28–30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3:45–4:00</w:t>
            </w:r>
          </w:p>
        </w:tc>
        <w:tc>
          <w:tcPr>
            <w:tcW w:type="dxa" w:w="4300"/>
            <w:tcMar>
              <w:top w:type="dxa" w:w="100"/>
              <w:left w:type="dxa" w:w="120"/>
              <w:bottom w:type="dxa" w:w="100"/>
              <w:right w:type="dxa" w:w="120"/>
            </w:tcMar>
            <w:vAlign w:val="center"/>
          </w:tcPr>
          <w:p>
            <w:r>
              <w:rPr>
                <w:b w:val="false"/>
                <w:bCs w:val="false"/>
                <w:color w:val="1F2937"/>
                <w:sz w:val="19"/>
                <w:szCs w:val="19"/>
              </w:rPr>
              <w:t xml:space="preserve">Terug naar sprint 5;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31–32</w:t>
            </w:r>
          </w:p>
        </w:tc>
      </w:tr>
    </w:tbl>
    <w:p>
      <w:pPr>
        <w:spacing w:after="300"/>
      </w:pPr>
    </w:p>
    <w:p>
      <w:pPr>
        <w:spacing w:after="160" w:line="276"/>
      </w:pPr>
      <w:r>
        <w:rPr>
          <w:b/>
          <w:bCs/>
          <w:color w:val="1F2937"/>
          <w:sz w:val="22"/>
          <w:szCs w:val="22"/>
        </w:rPr>
        <w:t xml:space="preserve">Opdracht 12.3 (gelijktijdigheidsincident) en 12.4 (de acht tabellen) staan niet in de planning.</w:t>
      </w:r>
      <w:r>
        <w:rPr>
          <w:color w:val="1F2937"/>
          <w:sz w:val="22"/>
          <w:szCs w:val="22"/>
        </w:rPr>
        <w:t xml:space="preserve"> Beide zijn waardevol en beide zijn deels gedekt door de plenaire behandeling van slide 31.</w:t>
      </w:r>
    </w:p>
    <w:p>
      <w:pPr>
        <w:pStyle w:val="ListParagraph"/>
        <w:numPr>
          <w:ilvl w:val="0"/>
          <w:numId w:val="3"/>
        </w:numPr>
        <w:spacing w:after="100"/>
      </w:pPr>
      <w:r>
        <w:rPr>
          <w:b/>
          <w:bCs/>
          <w:color w:val="1F2937"/>
          <w:sz w:val="22"/>
          <w:szCs w:val="22"/>
        </w:rPr>
        <w:t xml:space="preserve">Doe 12.3</w:t>
      </w:r>
      <w:r>
        <w:rPr>
          <w:color w:val="1F2937"/>
          <w:sz w:val="22"/>
          <w:szCs w:val="22"/>
        </w:rPr>
        <w:t xml:space="preserve"> bij groepen met veel bouwervaring; het is een concrete diagnose en hij verbindt terug naar het rollenspel uit deel 2 van niveau 1.</w:t>
      </w:r>
    </w:p>
    <w:p>
      <w:pPr>
        <w:pStyle w:val="ListParagraph"/>
        <w:numPr>
          <w:ilvl w:val="0"/>
          <w:numId w:val="3"/>
        </w:numPr>
        <w:spacing w:after="100"/>
      </w:pPr>
      <w:r>
        <w:rPr>
          <w:b/>
          <w:bCs/>
          <w:color w:val="1F2937"/>
          <w:sz w:val="22"/>
          <w:szCs w:val="22"/>
        </w:rPr>
        <w:t xml:space="preserve">Doe 12.4</w:t>
      </w:r>
      <w:r>
        <w:rPr>
          <w:color w:val="1F2937"/>
          <w:sz w:val="22"/>
          <w:szCs w:val="22"/>
        </w:rPr>
        <w:t xml:space="preserve"> wanneer de groep de neiging heeft verbeteringen te overdrijven — onderdeel d) is een eerlijkheidstoets die dat corrigeert.</w:t>
      </w:r>
    </w:p>
    <w:p>
      <w:pPr>
        <w:pStyle w:val="ListParagraph"/>
        <w:numPr>
          <w:ilvl w:val="0"/>
          <w:numId w:val="3"/>
        </w:numPr>
        <w:spacing w:after="100"/>
      </w:pPr>
      <w:r>
        <w:rPr>
          <w:b/>
          <w:bCs/>
          <w:color w:val="1F2937"/>
          <w:sz w:val="22"/>
          <w:szCs w:val="22"/>
        </w:rPr>
        <w:t xml:space="preserve">Bij 4,5 uur:</w:t>
      </w:r>
      <w:r>
        <w:rPr>
          <w:color w:val="1F2937"/>
          <w:sz w:val="22"/>
          <w:szCs w:val="22"/>
        </w:rPr>
        <w:t xml:space="preserve"> voeg 12.3 toe na opdracht 12.2; ze sluiten goed op elkaar aan.</w:t>
      </w:r>
    </w:p>
    <w:p>
      <w:pPr>
        <w:spacing w:after="160" w:line="276"/>
      </w:pPr>
      <w:r>
        <w:rPr>
          <w:b/>
          <w:bCs/>
          <w:color w:val="1F2937"/>
          <w:sz w:val="22"/>
          <w:szCs w:val="22"/>
        </w:rPr>
        <w:t xml:space="preserve">Wat u nooit inkort: </w:t>
      </w:r>
      <w:r>
        <w:rPr>
          <w:color w:val="1F2937"/>
          <w:sz w:val="22"/>
          <w:szCs w:val="22"/>
        </w:rPr>
        <w:t xml:space="preserve">opdracht 12.2. Dat is het hart van het deel.</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Sprint 5 (slides 3–5)</w:t>
      </w:r>
    </w:p>
    <w:p>
      <w:pPr>
        <w:spacing w:after="160" w:line="276"/>
      </w:pPr>
      <w:r>
        <w:rPr>
          <w:b/>
          <w:bCs/>
          <w:color w:val="1F2937"/>
          <w:sz w:val="22"/>
          <w:szCs w:val="22"/>
        </w:rPr>
        <w:t xml:space="preserve">Presenteer de twee symptomen zonder de diagnose.</w:t>
      </w:r>
      <w:r>
        <w:rPr>
          <w:color w:val="1F2937"/>
          <w:sz w:val="22"/>
          <w:szCs w:val="22"/>
        </w:rPr>
        <w:t xml:space="preserve"> Vraag de groep wat er aan de hand kan zijn; er komen doorgaans antwoorden over locking en over databaseontwerp. Beide zijn symptoombestrijding, en dat is nuttig om te laten zien.</w:t>
      </w:r>
    </w:p>
    <w:p>
      <w:pPr>
        <w:spacing w:after="160" w:line="276"/>
      </w:pPr>
      <w:r>
        <w:rPr>
          <w:b/>
          <w:bCs/>
          <w:color w:val="1F2937"/>
          <w:sz w:val="22"/>
          <w:szCs w:val="22"/>
        </w:rPr>
        <w:t xml:space="preserve">Het detail dat het punt maakt</w:t>
      </w:r>
      <w:r>
        <w:rPr>
          <w:color w:val="1F2937"/>
          <w:sz w:val="22"/>
          <w:szCs w:val="22"/>
        </w:rPr>
        <w:t xml:space="preserve"> is dat er géén foutmelding was: het werk verdween stil. Dat is dezelfde categorie als de stille stilstand uit deel 6 van niveau 1, en het is de reden dat het incident pas na weken werd opgemerkt.</w:t>
      </w:r>
    </w:p>
    <w:p>
      <w:pPr>
        <w:pStyle w:val="Heading2"/>
        <w:spacing w:after="140" w:before="260"/>
      </w:pPr>
      <w:r>
        <w:rPr>
          <w:b/>
          <w:bCs/>
          <w:color w:val="4A6789"/>
          <w:sz w:val="24"/>
          <w:szCs w:val="24"/>
        </w:rPr>
        <w:t xml:space="preserve">3.2 Entiteit en waardeobject (slides 6–10)</w:t>
      </w:r>
    </w:p>
    <w:p>
      <w:pPr>
        <w:spacing w:after="160" w:line="276"/>
      </w:pPr>
      <w:r>
        <w:rPr>
          <w:b/>
          <w:bCs/>
          <w:color w:val="1F2937"/>
          <w:sz w:val="22"/>
          <w:szCs w:val="22"/>
        </w:rPr>
        <w:t xml:space="preserve">Slide 9 is de belangrijkste van dit blok</w:t>
      </w:r>
      <w:r>
        <w:rPr>
          <w:color w:val="1F2937"/>
          <w:sz w:val="22"/>
          <w:szCs w:val="22"/>
        </w:rPr>
        <w:t xml:space="preserve"> en het is het sterkste praktische argument voor waardeobjecten in deze sector: een eigen Peildatum-type maakt de verwisseling met een verwerkingsdatum onmogelijk.</w:t>
      </w:r>
    </w:p>
    <w:p>
      <w:pPr>
        <w:spacing w:after="160" w:line="276"/>
      </w:pPr>
      <w:r>
        <w:rPr>
          <w:color w:val="1F2937"/>
          <w:sz w:val="22"/>
          <w:szCs w:val="22"/>
        </w:rPr>
        <w:t xml:space="preserve">Verbind expliciet met de borgingsladder uit deel 9: in niveau 1 was het datumconcept het énige cross-cutting concept dat niet te automatiseren viel — nu blijkt een deel ervan wél afdwingbaar, met een half uur werk. Deelnemers waarderen het als een eerder benoemde zwakte later gedeeltelijk wordt opgelost.</w:t>
      </w:r>
    </w:p>
    <w:p>
      <w:pPr>
        <w:spacing w:after="160" w:line="276"/>
      </w:pPr>
      <w:r>
        <w:rPr>
          <w:b/>
          <w:bCs/>
          <w:color w:val="1F2937"/>
          <w:sz w:val="22"/>
          <w:szCs w:val="22"/>
        </w:rPr>
        <w:t xml:space="preserve">Opdracht 12.1: </w:t>
      </w:r>
      <w:r>
        <w:rPr>
          <w:color w:val="1F2937"/>
          <w:sz w:val="22"/>
          <w:szCs w:val="22"/>
        </w:rPr>
        <w:t xml:space="preserve">12 minuten individueel, 8 plenair. Bespreek Burgerservicenummer, Bijlage en Peildatum.</w:t>
      </w:r>
    </w:p>
    <w:p>
      <w:pPr>
        <w:spacing w:after="160" w:line="276"/>
      </w:pPr>
      <w:r>
        <w:rPr>
          <w:color w:val="1F2937"/>
          <w:sz w:val="22"/>
          <w:szCs w:val="22"/>
        </w:rPr>
        <w:t xml:space="preserve">Burgerservicenummer levert de beste discussie op omdat het contra-intuïtief is: het identificeert een persoon, maar het ís niet de identiteit van het object zelf. Twee BSN-objecten met dezelfde waarde zijn uitwisselbaar. Bijkomend voordeel: het waardeobject is de plek voor de elfproef.</w:t>
      </w:r>
    </w:p>
    <w:p>
      <w:pPr>
        <w:pStyle w:val="Heading2"/>
        <w:spacing w:after="140" w:before="260"/>
      </w:pPr>
      <w:r>
        <w:rPr>
          <w:b/>
          <w:bCs/>
          <w:color w:val="4A6789"/>
          <w:sz w:val="24"/>
          <w:szCs w:val="24"/>
        </w:rPr>
        <w:t xml:space="preserve">3.3 Het aggregaat (slides 11–18)</w:t>
      </w:r>
    </w:p>
    <w:p>
      <w:pPr>
        <w:spacing w:after="160" w:line="276"/>
      </w:pPr>
      <w:r>
        <w:rPr>
          <w:b/>
          <w:bCs/>
          <w:color w:val="1F2937"/>
          <w:sz w:val="22"/>
          <w:szCs w:val="22"/>
        </w:rPr>
        <w:t xml:space="preserve">Slide 12 is de omkering en zij moet blijven hangen.</w:t>
      </w:r>
      <w:r>
        <w:rPr>
          <w:color w:val="1F2937"/>
          <w:sz w:val="22"/>
          <w:szCs w:val="22"/>
        </w:rPr>
        <w:t xml:space="preserve"> Zeg hem meerdere keren in verschillende bewoordingen: een aggregaat is geen antwoord op "wat hoort bij elkaar" maar op "waarbinnen moet een regel op elk moment kloppen".</w:t>
      </w:r>
    </w:p>
    <w:p>
      <w:pPr>
        <w:spacing w:after="160" w:line="276"/>
      </w:pPr>
      <w:r>
        <w:rPr>
          <w:b/>
          <w:bCs/>
          <w:color w:val="1F2937"/>
          <w:sz w:val="22"/>
          <w:szCs w:val="22"/>
        </w:rPr>
        <w:t xml:space="preserve">De vier regels presenteren als gevolgen, niet als voorschriften.</w:t>
      </w:r>
      <w:r>
        <w:rPr>
          <w:color w:val="1F2937"/>
          <w:sz w:val="22"/>
          <w:szCs w:val="22"/>
        </w:rPr>
        <w:t xml:space="preserve"> Regel 3 (verwijzen met identiteiten) is bijvoorbeeld geen willekeurige conventie: zij bestaat omdat objectverwijzingen ertoe leiden dat aggregaten aan elkaar groeien tot alles met alles samenhangt.</w:t>
      </w:r>
    </w:p>
    <w:p>
      <w:pPr>
        <w:spacing w:after="160" w:line="276"/>
      </w:pPr>
      <w:r>
        <w:rPr>
          <w:b/>
          <w:bCs/>
          <w:color w:val="1F2937"/>
          <w:sz w:val="22"/>
          <w:szCs w:val="22"/>
        </w:rPr>
        <w:t xml:space="preserve">Slide 16 (de toets) is de bruikbaarste zin voor de praktijk.</w:t>
      </w:r>
      <w:r>
        <w:rPr>
          <w:color w:val="1F2937"/>
          <w:sz w:val="22"/>
          <w:szCs w:val="22"/>
        </w:rPr>
        <w:t xml:space="preserve"> Als dit een seconde later klopt, wat gaat er dan mis en voor wie? Laat de groep hem toepassen op twee of drie regels voordat de opdracht begint.</w:t>
      </w:r>
    </w:p>
    <w:p>
      <w:pPr>
        <w:spacing w:after="160" w:line="276"/>
      </w:pPr>
      <w:r>
        <w:rPr>
          <w:b/>
          <w:bCs/>
          <w:color w:val="1F2937"/>
          <w:sz w:val="22"/>
          <w:szCs w:val="22"/>
        </w:rPr>
        <w:t xml:space="preserve">Opdracht 12.2, drie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Groepen formuleren regels als handelingen</w:t>
      </w:r>
      <w:r>
        <w:rPr>
          <w:color w:val="1F2937"/>
          <w:sz w:val="22"/>
          <w:szCs w:val="22"/>
        </w:rPr>
        <w:t xml:space="preserve"> ("de behandelaar keurt goed") in plaats van als uitspraken die waar moeten zijn ("een mutatie kan niet worden goedgekeurd door de indiener"). Corrigeer meteen; de hele opdracht hangt aan die formulering.</w:t>
      </w:r>
    </w:p>
    <w:p>
      <w:pPr>
        <w:pStyle w:val="ListParagraph"/>
        <w:numPr>
          <w:ilvl w:val="0"/>
          <w:numId w:val="4"/>
        </w:numPr>
        <w:spacing w:after="120"/>
      </w:pPr>
      <w:r>
        <w:rPr>
          <w:b/>
          <w:bCs/>
          <w:color w:val="1F2937"/>
          <w:sz w:val="22"/>
          <w:szCs w:val="22"/>
        </w:rPr>
        <w:t xml:space="preserve">Regel 7 (overleden deelnemer krijgt geen mutaties) wordt automatisch als onmiddellijk gescoord.</w:t>
      </w:r>
      <w:r>
        <w:rPr>
          <w:color w:val="1F2937"/>
          <w:sz w:val="22"/>
          <w:szCs w:val="22"/>
        </w:rPr>
        <w:t xml:space="preserve"> Dit is het beste discussiepunt van de opdracht. Vraag: wat gaat er mis als het een seconde later klopt? Antwoord: een mutatie op een zojuist als overleden geregistreerde deelnemer — hinderlijk, herstelbaar, en zeldzaam. Wilt u het onmiddellijk, dan moet deelnemer en mutatie in één aggregaat, en dan bouwt u sprint 5 opnieuw. Formuleer de les scherp: u koopt onmiddellijke consistentie op een randgeval met permanente gelijktijdigheids- en prestatieproblemen op het hoofdpad.</w:t>
      </w:r>
    </w:p>
    <w:p>
      <w:pPr>
        <w:pStyle w:val="ListParagraph"/>
        <w:numPr>
          <w:ilvl w:val="0"/>
          <w:numId w:val="4"/>
        </w:numPr>
        <w:spacing w:after="120"/>
      </w:pPr>
      <w:r>
        <w:rPr>
          <w:b/>
          <w:bCs/>
          <w:color w:val="1F2937"/>
          <w:sz w:val="22"/>
          <w:szCs w:val="22"/>
        </w:rPr>
        <w:t xml:space="preserve">Onderdeel f) wordt overgeslagen.</w:t>
      </w:r>
      <w:r>
        <w:rPr>
          <w:color w:val="1F2937"/>
          <w:sz w:val="22"/>
          <w:szCs w:val="22"/>
        </w:rPr>
        <w:t xml:space="preserve"> Dat is de toets die de indeling valideert. De handeling die groepen fout hebben is doorgaans mutatie afronden, die de deelnemersstatus wil bijwerken.</w:t>
      </w:r>
    </w:p>
    <w:p>
      <w:pPr>
        <w:spacing w:after="160" w:line="276"/>
      </w:pPr>
      <w:r>
        <w:rPr>
          <w:b/>
          <w:bCs/>
          <w:color w:val="1F2937"/>
          <w:sz w:val="22"/>
          <w:szCs w:val="22"/>
        </w:rPr>
        <w:t xml:space="preserve">Plenair bij e): </w:t>
      </w:r>
      <w:r>
        <w:rPr>
          <w:color w:val="1F2937"/>
          <w:sz w:val="22"/>
          <w:szCs w:val="22"/>
        </w:rPr>
        <w:t xml:space="preserve">wijs erop dat de domeingebeurtenissen die zij opschrijven, precies de gebeurtenissen zijn die in de werksessie van deel 11 op de tijdlijn stonden. Dat is geen toeval en het is een sterk moment: de gebeurtenissen die domeindeskundigen noemen, zijn de gebeurtenissen die de aggregaten verbinden.</w:t>
      </w:r>
    </w:p>
    <w:p>
      <w:pPr>
        <w:pStyle w:val="Heading2"/>
        <w:spacing w:after="140" w:before="260"/>
      </w:pPr>
      <w:r>
        <w:rPr>
          <w:b/>
          <w:bCs/>
          <w:color w:val="4A6789"/>
          <w:sz w:val="24"/>
          <w:szCs w:val="24"/>
        </w:rPr>
        <w:t xml:space="preserve">3.4 De bouwstenen (slides 19–22)</w:t>
      </w:r>
    </w:p>
    <w:p>
      <w:pPr>
        <w:spacing w:after="160" w:line="276"/>
      </w:pPr>
      <w:r>
        <w:rPr>
          <w:color w:val="1F2937"/>
          <w:sz w:val="22"/>
          <w:szCs w:val="22"/>
        </w:rPr>
        <w:t xml:space="preserve">Tempo mag hoog. Slide 21 is het punt: domeingebeurtenissen doen drie dingen tegelijk, en dat maakt ze de belangrijkste bouwsteen van dit deel. Vooral het tweede — zij zijn de vastlegging die QS-4 vraagt — verbindt terug naar de keuze uit deel 5 van niveau 1.</w:t>
      </w:r>
    </w:p>
    <w:p>
      <w:pPr>
        <w:spacing w:after="160" w:line="276"/>
      </w:pPr>
      <w:r>
        <w:rPr>
          <w:b/>
          <w:bCs/>
          <w:color w:val="1F2937"/>
          <w:sz w:val="22"/>
          <w:szCs w:val="22"/>
        </w:rPr>
        <w:t xml:space="preserve">Slide 22 kort en scherp.</w:t>
      </w:r>
      <w:r>
        <w:rPr>
          <w:color w:val="1F2937"/>
          <w:sz w:val="22"/>
          <w:szCs w:val="22"/>
        </w:rPr>
        <w:t xml:space="preserve"> Het verschil tussen MutatieRecordUpdated en MutatieGoedgekeurd is de hele ubiquitous language in één voorbeeld.</w:t>
      </w:r>
    </w:p>
    <w:p>
      <w:pPr>
        <w:pStyle w:val="Heading2"/>
        <w:spacing w:after="140" w:before="260"/>
      </w:pPr>
      <w:r>
        <w:rPr>
          <w:b/>
          <w:bCs/>
          <w:color w:val="4A6789"/>
          <w:sz w:val="24"/>
          <w:szCs w:val="24"/>
        </w:rPr>
        <w:t xml:space="preserve">3.5 Van aggregaten naar modules (slides 23–27)</w:t>
      </w:r>
    </w:p>
    <w:p>
      <w:pPr>
        <w:spacing w:after="160" w:line="276"/>
      </w:pPr>
      <w:r>
        <w:rPr>
          <w:b/>
          <w:bCs/>
          <w:color w:val="1F2937"/>
          <w:sz w:val="22"/>
          <w:szCs w:val="22"/>
        </w:rPr>
        <w:t xml:space="preserve">Dit blok voorkomt dat DDD een modelleeroefening blijft.</w:t>
      </w:r>
      <w:r>
        <w:rPr>
          <w:color w:val="1F2937"/>
          <w:sz w:val="22"/>
          <w:szCs w:val="22"/>
        </w:rPr>
        <w:t xml:space="preserve"> De vertaaltabel op slide 24 is de kern; de handhavingstabel op slide 25 is wat het praktisch maakt.</w:t>
      </w:r>
    </w:p>
    <w:p>
      <w:pPr>
        <w:spacing w:after="160" w:line="276"/>
      </w:pPr>
      <w:r>
        <w:rPr>
          <w:b/>
          <w:bCs/>
          <w:color w:val="1F2937"/>
          <w:sz w:val="22"/>
          <w:szCs w:val="22"/>
        </w:rPr>
        <w:t xml:space="preserve">Slide 26 is de eerlijkheid: </w:t>
      </w:r>
      <w:r>
        <w:rPr>
          <w:color w:val="1F2937"/>
          <w:sz w:val="22"/>
          <w:szCs w:val="22"/>
        </w:rPr>
        <w:t xml:space="preserve">de aggregaatgrens zelf is niet machinaal te toetsen. Dat is bekend terrein — hetzelfde gold voor het datumconcept — en het hoort daarom op de agenda van het gremium.</w:t>
      </w:r>
    </w:p>
    <w:p>
      <w:pPr>
        <w:spacing w:after="160" w:line="276"/>
      </w:pPr>
      <w:r>
        <w:rPr>
          <w:b/>
          <w:bCs/>
          <w:color w:val="1F2937"/>
          <w:sz w:val="22"/>
          <w:szCs w:val="22"/>
        </w:rPr>
        <w:t xml:space="preserve">Opdracht 12.5, onderdeel e) is het belangrijkste.</w:t>
      </w:r>
      <w:r>
        <w:rPr>
          <w:color w:val="1F2937"/>
          <w:sz w:val="22"/>
          <w:szCs w:val="22"/>
        </w:rPr>
        <w:t xml:space="preserve"> Groepen antwoorden vaak met "we leggen het uit in de onboarding". Dat is laag 3 uit deel 9 en dus geen borging.</w:t>
      </w:r>
    </w:p>
    <w:p>
      <w:pPr>
        <w:spacing w:after="160" w:line="276"/>
      </w:pPr>
      <w:r>
        <w:rPr>
          <w:color w:val="1F2937"/>
          <w:sz w:val="22"/>
          <w:szCs w:val="22"/>
        </w:rPr>
        <w:t xml:space="preserve">Duw naar het middelste mechanisme: een ADR per nieuw aggregaat met de consistentievraag als verplicht onderdeel. Dat stelt de vraag op het moment dat hij goedkoop te beantwoorden is, en legt het antwoord vindbaar vast voor het team dat over twee jaar de achtste mutatiesoort bouwt.</w:t>
      </w:r>
    </w:p>
    <w:p>
      <w:pPr>
        <w:pStyle w:val="Heading2"/>
        <w:spacing w:after="140" w:before="260"/>
      </w:pPr>
      <w:r>
        <w:rPr>
          <w:b/>
          <w:bCs/>
          <w:color w:val="4A6789"/>
          <w:sz w:val="24"/>
          <w:szCs w:val="24"/>
        </w:rPr>
        <w:t xml:space="preserve">3.6 Het bloedarmoedige model (slides 28–30)</w:t>
      </w:r>
    </w:p>
    <w:p>
      <w:pPr>
        <w:spacing w:after="160" w:line="276"/>
      </w:pPr>
      <w:r>
        <w:rPr>
          <w:b/>
          <w:bCs/>
          <w:color w:val="1F2937"/>
          <w:sz w:val="22"/>
          <w:szCs w:val="22"/>
        </w:rPr>
        <w:t xml:space="preserve">Behandel dit genuanceerd.</w:t>
      </w:r>
      <w:r>
        <w:rPr>
          <w:color w:val="1F2937"/>
          <w:sz w:val="22"/>
          <w:szCs w:val="22"/>
        </w:rPr>
        <w:t xml:space="preserve"> Deelnemers hebben het begrip vaak gehoord als scheldwoord, en dat is niet nuttig. De lijn uit de reader — probleem in kernsubdomeinen, normaal in leesmodellen en generieke subdomeinen — sluit aan bij de subdomeinclassificatie uit deel 11 en is verdedigbaar.</w:t>
      </w:r>
    </w:p>
    <w:p>
      <w:pPr>
        <w:spacing w:after="160" w:line="276"/>
      </w:pPr>
      <w:r>
        <w:rPr>
          <w:b/>
          <w:bCs/>
          <w:color w:val="1F2937"/>
          <w:sz w:val="22"/>
          <w:szCs w:val="22"/>
        </w:rPr>
        <w:t xml:space="preserve">Slide 30 is het argument dat aankomt: </w:t>
      </w:r>
      <w:r>
        <w:rPr>
          <w:color w:val="1F2937"/>
          <w:sz w:val="22"/>
          <w:szCs w:val="22"/>
        </w:rPr>
        <w:t xml:space="preserve">een regel op drie plaatsen loopt uiteen, en u merkt het niet als storing maar als een verkeerd administratief resultaat, maanden later, bij een persoon in een kwetsbare situatie. Voor pensioenuitvoerders is dat geen abstractie.</w:t>
      </w:r>
    </w:p>
    <w:p>
      <w:pPr>
        <w:pStyle w:val="Heading2"/>
        <w:spacing w:after="140" w:before="260"/>
      </w:pPr>
      <w:r>
        <w:rPr>
          <w:b/>
          <w:bCs/>
          <w:color w:val="4A6789"/>
          <w:sz w:val="24"/>
          <w:szCs w:val="24"/>
        </w:rPr>
        <w:t xml:space="preserve">3.7 Terug naar sprint 5 (slide 31)</w:t>
      </w:r>
    </w:p>
    <w:p>
      <w:pPr>
        <w:spacing w:after="160" w:line="276"/>
      </w:pPr>
      <w:r>
        <w:rPr>
          <w:b/>
          <w:bCs/>
          <w:color w:val="1F2937"/>
          <w:sz w:val="22"/>
          <w:szCs w:val="22"/>
        </w:rPr>
        <w:t xml:space="preserve">Sluit expliciet af met de diagnose,</w:t>
      </w:r>
      <w:r>
        <w:rPr>
          <w:color w:val="1F2937"/>
          <w:sz w:val="22"/>
          <w:szCs w:val="22"/>
        </w:rPr>
        <w:t xml:space="preserve"> want dat maakt het dagdeel rond.</w:t>
      </w:r>
    </w:p>
    <w:p>
      <w:pPr>
        <w:spacing w:after="160" w:line="276"/>
      </w:pPr>
      <w:r>
        <w:rPr>
          <w:color w:val="1F2937"/>
          <w:sz w:val="22"/>
          <w:szCs w:val="22"/>
        </w:rPr>
        <w:t xml:space="preserve">Het scherpste punt: een deel van de conflicten verdwijnt en een deel blijft, en dat laatste is correct. Een ontwerp waarin nooit een conflict optreedt, verbergt ze — dat was precies sprint 5, waar geen foutmelding kwam en het werk stil verdween.</w:t>
      </w:r>
    </w:p>
    <w:p>
      <w:pPr>
        <w:spacing w:after="160" w:line="276"/>
      </w:pPr>
      <w:r>
        <w:rPr>
          <w:color w:val="1F2937"/>
          <w:sz w:val="22"/>
          <w:szCs w:val="22"/>
        </w:rPr>
        <w:t xml:space="preserve">Verbind met deel 2 van niveau 1: het scenario over twee behandelaars in hetzelfde dossier kwam destijds pas na doorvragen boven en werd toen als architectuurrelevant gemarkeerd. Hier wordt het gerealiseerd. Deelnemers die dat verband zien, ervaren de samenhang van de hele reeks.</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"Onze database doet dit met transacties, waarom is dit nodig?"</w:t>
      </w:r>
      <w:r>
        <w:rPr>
          <w:color w:val="1F2937"/>
          <w:sz w:val="22"/>
          <w:szCs w:val="22"/>
        </w:rPr>
        <w:t xml:space="preserve"> Terechte vraag bij een modulith met één database. Het antwoord heeft twee delen: (1) een transactie garandeert dat alles samen gebeurt, niet dat de regels kloppen — die zitten in het aggregaat; (2) grote transacties zijn precies wat de gelijktijdigheidsproblemen veroorzaakt, ook binnen één database. Sprint 5 had transacties en verloor toch werk.</w:t>
      </w:r>
    </w:p>
    <w:p>
      <w:pPr>
        <w:spacing w:after="160" w:line="276"/>
      </w:pPr>
      <w:r>
        <w:rPr>
          <w:b/>
          <w:bCs/>
          <w:color w:val="1F2937"/>
          <w:sz w:val="22"/>
          <w:szCs w:val="22"/>
        </w:rPr>
        <w:t xml:space="preserve">De dogmatiekvalkuil.</w:t>
      </w:r>
      <w:r>
        <w:rPr>
          <w:color w:val="1F2937"/>
          <w:sz w:val="22"/>
          <w:szCs w:val="22"/>
        </w:rPr>
        <w:t xml:space="preserve"> Iemand citeert de vier regels als absolute wet en vraagt hoe u een uitzondering rechtvaardigt. Antwoord: de regels zijn gevolgen van de consistentievraag, en waar de consistentievraag anders uitpakt, pakken de regels anders uit. Wat níét mag, is een uitzondering zonder de consistentievraag beantwoord te hebben.</w:t>
      </w:r>
    </w:p>
    <w:p>
      <w:pPr>
        <w:spacing w:after="160" w:line="276"/>
      </w:pPr>
      <w:r>
        <w:rPr>
          <w:b/>
          <w:bCs/>
          <w:color w:val="1F2937"/>
          <w:sz w:val="22"/>
          <w:szCs w:val="22"/>
        </w:rPr>
        <w:t xml:space="preserve">"Wij hebben geen domeinmodel, alleen tabellen en services."</w:t>
      </w:r>
      <w:r>
        <w:rPr>
          <w:color w:val="1F2937"/>
          <w:sz w:val="22"/>
          <w:szCs w:val="22"/>
        </w:rPr>
        <w:t xml:space="preserve"> Veelvoorkomend en het is geen probleem in zichzelf. Vraag door naar het kernsubdomein: staan de invarianten daar op één plek of verspreid? Als het antwoord verspreid is, hebt u geval 6 uit opdracht 12.6 en dat is een echt risico. Elders is het waarschijnlijk prima.</w:t>
      </w:r>
    </w:p>
    <w:p>
      <w:pPr>
        <w:spacing w:after="160" w:line="276"/>
      </w:pPr>
      <w:r>
        <w:rPr>
          <w:b/>
          <w:bCs/>
          <w:color w:val="1F2937"/>
          <w:sz w:val="22"/>
          <w:szCs w:val="22"/>
        </w:rPr>
        <w:t xml:space="preserve">De groep wil naar event sourcing.</w:t>
      </w:r>
      <w:r>
        <w:rPr>
          <w:color w:val="1F2937"/>
          <w:sz w:val="22"/>
          <w:szCs w:val="22"/>
        </w:rPr>
        <w:t xml:space="preserve"> Dat is deel 14. Parkeer met de opmerking dat domeingebeurtenissen en event sourcing niet hetzelfde zijn: gebeurtenissen publiceren kan zonder ze als bron van waarheid te gebruiken, en dat onderscheid is precies wat deel 14 uitwerkt.</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color w:val="1F2937"/>
          <w:sz w:val="22"/>
          <w:szCs w:val="22"/>
        </w:rPr>
        <w:t xml:space="preserve">Wie maakt aggregaten groot om alles onmiddellijk consistent te hebben? Bouwt sprint 5 opnieuw; let hierop in deel 13 en 14.</w:t>
      </w:r>
    </w:p>
    <w:p>
      <w:pPr>
        <w:pStyle w:val="ListParagraph"/>
        <w:numPr>
          <w:ilvl w:val="0"/>
          <w:numId w:val="5"/>
        </w:numPr>
        <w:spacing w:after="120"/>
      </w:pPr>
      <w:r>
        <w:rPr>
          <w:color w:val="1F2937"/>
          <w:sz w:val="22"/>
          <w:szCs w:val="22"/>
        </w:rPr>
        <w:t xml:space="preserve">Wie formuleert regels als handelingen in plaats van als invarianten? Zal in deel 18 (architectuurevaluatie gevorderd) moeite hebben met het formuleren van toetsbare uitspraken.</w:t>
      </w:r>
    </w:p>
    <w:p>
      <w:pPr>
        <w:pStyle w:val="ListParagraph"/>
        <w:numPr>
          <w:ilvl w:val="0"/>
          <w:numId w:val="5"/>
        </w:numPr>
        <w:spacing w:after="120"/>
      </w:pPr>
      <w:r>
        <w:rPr>
          <w:color w:val="1F2937"/>
          <w:sz w:val="22"/>
          <w:szCs w:val="22"/>
        </w:rPr>
        <w:t xml:space="preserve">Wie antwoordt bij opdracht 12.5e met onboarding of uitleg? Heeft de borgingsladder uit niveau 1 niet geïnternaliseerd — dit is het derde niveau waarop dat patroon terugkomt.</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12</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AE: het aggregaat uit sprint 5 met alle onderdelen en verwijzingen</w:t>
      </w:r>
    </w:p>
    <w:p>
      <w:pPr>
        <w:pStyle w:val="ListParagraph"/>
        <w:numPr>
          <w:ilvl w:val="0"/>
          <w:numId w:val="3"/>
        </w:numPr>
        <w:spacing w:after="100"/>
      </w:pPr>
      <w:r>
        <w:rPr>
          <w:color w:val="1F2937"/>
          <w:sz w:val="22"/>
          <w:szCs w:val="22"/>
        </w:rPr>
        <w:t xml:space="preserve">Bijlage AF: de tijdlijn van het gelijktijdigheidsincident, beide sessies naast elkaar</w:t>
      </w:r>
    </w:p>
    <w:p>
      <w:pPr>
        <w:pStyle w:val="ListParagraph"/>
        <w:numPr>
          <w:ilvl w:val="0"/>
          <w:numId w:val="3"/>
        </w:numPr>
        <w:spacing w:after="100"/>
      </w:pPr>
      <w:r>
        <w:rPr>
          <w:color w:val="1F2937"/>
          <w:sz w:val="22"/>
          <w:szCs w:val="22"/>
        </w:rPr>
        <w:t xml:space="preserve">Bijlage AG: de acht tabellen met per tabel de reden</w:t>
      </w:r>
    </w:p>
    <w:p>
      <w:pPr>
        <w:pStyle w:val="ListParagraph"/>
        <w:numPr>
          <w:ilvl w:val="0"/>
          <w:numId w:val="3"/>
        </w:numPr>
        <w:spacing w:after="100"/>
      </w:pPr>
      <w:r>
        <w:rPr>
          <w:color w:val="1F2937"/>
          <w:sz w:val="22"/>
          <w:szCs w:val="22"/>
        </w:rPr>
        <w:t xml:space="preserve">Bijlage AH: twintig ongeclassificeerde domeinbegrippen</w:t>
      </w:r>
    </w:p>
    <w:p>
      <w:pPr>
        <w:pStyle w:val="ListParagraph"/>
        <w:numPr>
          <w:ilvl w:val="0"/>
          <w:numId w:val="3"/>
        </w:numPr>
        <w:spacing w:after="100"/>
      </w:pPr>
      <w:r>
        <w:rPr>
          <w:color w:val="1F2937"/>
          <w:sz w:val="22"/>
          <w:szCs w:val="22"/>
        </w:rPr>
        <w:t xml:space="preserve">De context map uit deel 11 en de modulith-indeling uit deel 5 — beide nodig bij opdracht 12.5</w:t>
      </w:r>
    </w:p>
    <w:p>
      <w:pPr>
        <w:pStyle w:val="ListParagraph"/>
        <w:numPr>
          <w:ilvl w:val="0"/>
          <w:numId w:val="3"/>
        </w:numPr>
        <w:spacing w:after="100"/>
      </w:pPr>
      <w:r>
        <w:rPr>
          <w:color w:val="1F2937"/>
          <w:sz w:val="22"/>
          <w:szCs w:val="22"/>
        </w:rPr>
        <w:t xml:space="preserve">Grote vellen voor de aggregaattekeningen; deze gaan mee naar deel 13 en 14</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13 behandelt microservicesarchitectuur: wat er verandert wanneer de modules van vandaag over procesgrenzen worden verdeeld. De brug: we hebben nu aggregaten die de transactiegrens bepalen, en modules die hun eigen gegevens bezitten en met gebeurtenissen communiceren. Dat is precies de vorm die u nodig hebt als u ooit gaat splitsen — en dat is de belofte die de modulith in deel 5 deed. Volgende keer kijken we wat splitsen werkelijk kost, en wat er gebeurt met een aggregaatgrens die opeens een netwerkgrens wordt.</w:t>
      </w:r>
    </w:p>
    <w:p>
      <w:pPr>
        <w:pBdr>
          <w:top w:val="single" w:color="E5E7EB" w:sz="4" w:space="8"/>
        </w:pBdr>
        <w:spacing w:before="400"/>
        <w:jc w:val="center"/>
      </w:pPr>
      <w:r>
        <w:rPr>
          <w:i/>
          <w:iCs/>
          <w:color w:val="6B7280"/>
          <w:sz w:val="17"/>
          <w:szCs w:val="17"/>
        </w:rPr>
        <w:t xml:space="preserve">Ductus B.V. · Cursus Softwarearchitectuur · Niveau 2, deel 12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2026-08-17T14:49:20.271Z</dcterms:created>
  <dcterms:modified xsi:type="dcterms:W3CDTF">2026-08-17T14:49:20.273Z</dcterms:modified>
</cp:coreProperties>
</file>

<file path=docProps/custom.xml><?xml version="1.0" encoding="utf-8"?>
<Properties xmlns="http://schemas.openxmlformats.org/officeDocument/2006/custom-properties" xmlns:vt="http://schemas.openxmlformats.org/officeDocument/2006/docPropsVTypes"/>
</file>