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12 — Tactisch domeingedreven ontwerp en de modulith</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2 (CPSA-A) · Deel 12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AE: het aggregaat uit sprint 5, met alle onderdelen en hun onderlinge verwijzingen</w:t>
      </w:r>
    </w:p>
    <w:p>
      <w:pPr>
        <w:pStyle w:val="ListParagraph"/>
        <w:numPr>
          <w:ilvl w:val="0"/>
          <w:numId w:val="2"/>
        </w:numPr>
        <w:spacing w:after="100"/>
      </w:pPr>
      <w:r>
        <w:rPr>
          <w:color w:val="1F2937"/>
          <w:sz w:val="22"/>
          <w:szCs w:val="22"/>
        </w:rPr>
        <w:t xml:space="preserve">Bijlage AF: het gelijktijdigheidsincident — twee behandelaars, één dossier, met de tijdlijn van beide sessies</w:t>
      </w:r>
    </w:p>
    <w:p>
      <w:pPr>
        <w:pStyle w:val="ListParagraph"/>
        <w:numPr>
          <w:ilvl w:val="0"/>
          <w:numId w:val="2"/>
        </w:numPr>
        <w:spacing w:after="100"/>
      </w:pPr>
      <w:r>
        <w:rPr>
          <w:color w:val="1F2937"/>
          <w:sz w:val="22"/>
          <w:szCs w:val="22"/>
        </w:rPr>
        <w:t xml:space="preserve">Bijlage AG: de acht tabellen die door één adreswijziging worden geraakt, met de reden per tabel</w:t>
      </w:r>
    </w:p>
    <w:p>
      <w:pPr>
        <w:pStyle w:val="ListParagraph"/>
        <w:numPr>
          <w:ilvl w:val="0"/>
          <w:numId w:val="2"/>
        </w:numPr>
        <w:spacing w:after="100"/>
      </w:pPr>
      <w:r>
        <w:rPr>
          <w:color w:val="1F2937"/>
          <w:sz w:val="22"/>
          <w:szCs w:val="22"/>
        </w:rPr>
        <w:t xml:space="preserve">Bijlage AH: twintig domeinbegrippen uit de mutatiecontext, ongeclassificeerd</w:t>
      </w:r>
    </w:p>
    <w:p>
      <w:pPr>
        <w:pStyle w:val="ListParagraph"/>
        <w:numPr>
          <w:ilvl w:val="0"/>
          <w:numId w:val="2"/>
        </w:numPr>
        <w:spacing w:after="100"/>
      </w:pPr>
      <w:r>
        <w:rPr>
          <w:color w:val="1F2937"/>
          <w:sz w:val="22"/>
          <w:szCs w:val="22"/>
        </w:rPr>
        <w:t xml:space="preserve">Uw context map uit deel 11 en uw modulith-indeling uit deel 5</w:t>
      </w:r>
    </w:p>
    <w:p>
      <w:pPr>
        <w:pStyle w:val="Heading1"/>
        <w:pBdr>
          <w:bottom w:val="single" w:color="E5E7EB" w:sz="6" w:space="6"/>
        </w:pBdr>
        <w:spacing w:after="180" w:before="380"/>
      </w:pPr>
      <w:r>
        <w:rPr>
          <w:b/>
          <w:bCs/>
          <w:color w:val="1F3A5F"/>
          <w:sz w:val="30"/>
          <w:szCs w:val="30"/>
        </w:rPr>
        <w:t xml:space="preserve">Opdracht 12.1 — Entiteit of waardeobject? (individueel, 20 minuten)</w:t>
      </w:r>
    </w:p>
    <w:p>
      <w:pPr>
        <w:spacing w:after="160" w:line="276"/>
      </w:pPr>
      <w:r>
        <w:rPr>
          <w:color w:val="1F2937"/>
          <w:sz w:val="22"/>
          <w:szCs w:val="22"/>
        </w:rPr>
        <w:t xml:space="preserve">Classificeer de twintig begrippen uit bijlage AH. Gebruik de toets: doet het ertoe wélke van twee gelijke exemplaren dit is?</w:t>
      </w:r>
    </w:p>
    <w:p>
      <w:pPr>
        <w:spacing w:after="160" w:line="276"/>
      </w:pPr>
      <w:r>
        <w:rPr>
          <w:color w:val="1F2937"/>
          <w:sz w:val="22"/>
          <w:szCs w:val="22"/>
        </w:rPr>
        <w:t xml:space="preserve">Een selectie, ter oriëntatie: Deelnemer, Adres, Mutatie, Peildatum, Bijlage, Bedrag, Vereveningsuitkomst, Goedkeuring, Periode, Burgerservicenummer, Werkgever, ReglementparameterSet, Statusovergang, Percentage.</w:t>
      </w:r>
    </w:p>
    <w:p>
      <w:pPr>
        <w:pStyle w:val="ListParagraph"/>
        <w:numPr>
          <w:ilvl w:val="0"/>
          <w:numId w:val="2"/>
        </w:numPr>
        <w:spacing w:after="100"/>
      </w:pPr>
      <w:r>
        <w:rPr>
          <w:b/>
          <w:bCs/>
          <w:color w:val="1F2937"/>
          <w:sz w:val="22"/>
          <w:szCs w:val="22"/>
        </w:rPr>
        <w:t xml:space="preserve">a)</w:t>
      </w:r>
      <w:r>
        <w:rPr>
          <w:color w:val="1F2937"/>
          <w:sz w:val="22"/>
          <w:szCs w:val="22"/>
        </w:rPr>
        <w:t xml:space="preserve"> Classificeer elk begrip als entiteit (E) of waardeobject (W).</w:t>
      </w:r>
    </w:p>
    <w:p>
      <w:pPr>
        <w:pStyle w:val="ListParagraph"/>
        <w:numPr>
          <w:ilvl w:val="0"/>
          <w:numId w:val="2"/>
        </w:numPr>
        <w:spacing w:after="100"/>
      </w:pPr>
      <w:r>
        <w:rPr>
          <w:b/>
          <w:bCs/>
          <w:color w:val="1F2937"/>
          <w:sz w:val="22"/>
          <w:szCs w:val="22"/>
        </w:rPr>
        <w:t xml:space="preserve">b)</w:t>
      </w:r>
      <w:r>
        <w:rPr>
          <w:color w:val="1F2937"/>
          <w:sz w:val="22"/>
          <w:szCs w:val="22"/>
        </w:rPr>
        <w:t xml:space="preserve"> Drie begrippen zijn omstreden. Welke, volgens u, en waar hangt het antwoord van af?</w:t>
      </w:r>
    </w:p>
    <w:p>
      <w:pPr>
        <w:pStyle w:val="ListParagraph"/>
        <w:numPr>
          <w:ilvl w:val="0"/>
          <w:numId w:val="2"/>
        </w:numPr>
        <w:spacing w:after="100"/>
      </w:pPr>
      <w:r>
        <w:rPr>
          <w:b/>
          <w:bCs/>
          <w:color w:val="1F2937"/>
          <w:sz w:val="22"/>
          <w:szCs w:val="22"/>
        </w:rPr>
        <w:t xml:space="preserve">c)</w:t>
      </w:r>
      <w:r>
        <w:rPr>
          <w:color w:val="1F2937"/>
          <w:sz w:val="22"/>
          <w:szCs w:val="22"/>
        </w:rPr>
        <w:t xml:space="preserve"> Neem Peildatum als waardeobject. Welke regels draagt het? Welke fout uit deel 8 van niveau 1 wordt hiermee onmogelijk?</w:t>
      </w:r>
    </w:p>
    <w:p>
      <w:pPr>
        <w:pStyle w:val="ListParagraph"/>
        <w:numPr>
          <w:ilvl w:val="0"/>
          <w:numId w:val="2"/>
        </w:numPr>
        <w:spacing w:after="100"/>
      </w:pPr>
      <w:r>
        <w:rPr>
          <w:b/>
          <w:bCs/>
          <w:color w:val="1F2937"/>
          <w:sz w:val="22"/>
          <w:szCs w:val="22"/>
        </w:rPr>
        <w:t xml:space="preserve">d)</w:t>
      </w:r>
      <w:r>
        <w:rPr>
          <w:color w:val="1F2937"/>
          <w:sz w:val="22"/>
          <w:szCs w:val="22"/>
        </w:rPr>
        <w:t xml:space="preserve"> Neem Bijlage. Als u die als entiteit classificeert, waar hoort haar identiteit dan bij — bij het aggregaat van de mutatie, of zelfstandig?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12.1</w:t>
            </w:r>
          </w:p>
          <w:p>
            <w:pPr>
              <w:spacing w:after="80"/>
            </w:pPr>
          </w:p>
          <w:p>
            <w:pPr>
              <w:spacing w:after="120" w:line="276"/>
            </w:pPr>
            <w:r>
              <w:rPr>
                <w:b/>
                <w:bCs/>
                <w:color w:val="1F2937"/>
                <w:sz w:val="21"/>
                <w:szCs w:val="21"/>
              </w:rPr>
              <w:t xml:space="preserve">a) De heldere gevallen.</w:t>
            </w:r>
            <w:r>
              <w:rPr>
                <w:color w:val="1F2937"/>
                <w:sz w:val="21"/>
                <w:szCs w:val="21"/>
              </w:rPr>
              <w:t xml:space="preserve"/>
            </w:r>
          </w:p>
          <w:p>
            <w:pPr>
              <w:spacing w:after="120" w:line="276"/>
            </w:pPr>
            <w:r>
              <w:rPr>
                <w:color w:val="1F2937"/>
                <w:sz w:val="21"/>
                <w:szCs w:val="21"/>
              </w:rPr>
              <w:t xml:space="preserve">Entiteiten: Deelnemer, Mutatie, Werkgever, Goedkeuring, Statusovergang.</w:t>
            </w:r>
          </w:p>
          <w:p>
            <w:pPr>
              <w:spacing w:after="120" w:line="276"/>
            </w:pPr>
            <w:r>
              <w:rPr>
                <w:color w:val="1F2937"/>
                <w:sz w:val="21"/>
                <w:szCs w:val="21"/>
              </w:rPr>
              <w:t xml:space="preserve">Waardeobjecten: Adres, Peildatum, Bedrag, Periode, Percentage, Burgerservicenummer, Vereveningsuitkomst, ReglementparameterSet.</w:t>
            </w:r>
          </w:p>
          <w:p>
            <w:pPr>
              <w:spacing w:after="120" w:line="276"/>
            </w:pPr>
            <w:r>
              <w:rPr>
                <w:b/>
                <w:bCs/>
                <w:color w:val="1F2937"/>
                <w:sz w:val="21"/>
                <w:szCs w:val="21"/>
              </w:rPr>
              <w:t xml:space="preserve">b) De drie omstreden gevallen:</w:t>
            </w:r>
            <w:r>
              <w:rPr>
                <w:color w:val="1F2937"/>
                <w:sz w:val="21"/>
                <w:szCs w:val="21"/>
              </w:rPr>
              <w:t xml:space="preserve"/>
            </w:r>
          </w:p>
          <w:p>
            <w:pPr>
              <w:pStyle w:val="ListParagraph"/>
              <w:numPr>
                <w:ilvl w:val="0"/>
                <w:numId w:val="2"/>
              </w:numPr>
              <w:spacing w:after="100"/>
            </w:pPr>
            <w:r>
              <w:rPr>
                <w:b/>
                <w:bCs/>
                <w:color w:val="1F2937"/>
                <w:sz w:val="22"/>
                <w:szCs w:val="22"/>
              </w:rPr>
              <w:t xml:space="preserve">Bijlage</w:t>
            </w:r>
            <w:r>
              <w:rPr>
                <w:color w:val="1F2937"/>
                <w:sz w:val="22"/>
                <w:szCs w:val="22"/>
              </w:rPr>
              <w:t xml:space="preserve"> — waardeobject als het alleen om de inhoud gaat; entiteit als u haar door de tijd volgt (versies, intrekking, wie haar uploadde). Bij Meridiaan: entiteit, want de audittrail vraagt wie wat wanneer aanleverde. Zij leeft dan binnen het mutatieaggregaat.</w:t>
            </w:r>
          </w:p>
          <w:p>
            <w:pPr>
              <w:pStyle w:val="ListParagraph"/>
              <w:numPr>
                <w:ilvl w:val="0"/>
                <w:numId w:val="2"/>
              </w:numPr>
              <w:spacing w:after="100"/>
            </w:pPr>
            <w:r>
              <w:rPr>
                <w:b/>
                <w:bCs/>
                <w:color w:val="1F2937"/>
                <w:sz w:val="22"/>
                <w:szCs w:val="22"/>
              </w:rPr>
              <w:t xml:space="preserve">Goedkeuring</w:t>
            </w:r>
            <w:r>
              <w:rPr>
                <w:color w:val="1F2937"/>
                <w:sz w:val="22"/>
                <w:szCs w:val="22"/>
              </w:rPr>
              <w:t xml:space="preserve"> — voelt als een gebeurtenis en dus als iets zonder identiteit, maar de audittrail vraagt dat u kunt aanwijzen welke goedkeuring dit was, door wie en wanneer. Entiteit binnen het mutatieaggregaat, of een domeingebeurtenis — beide verdedigbaar, en de keuze hangt af van of goedkeuringen ingetrokken kunnen worden.</w:t>
            </w:r>
          </w:p>
          <w:p>
            <w:pPr>
              <w:pStyle w:val="ListParagraph"/>
              <w:numPr>
                <w:ilvl w:val="0"/>
                <w:numId w:val="2"/>
              </w:numPr>
              <w:spacing w:after="100"/>
            </w:pPr>
            <w:r>
              <w:rPr>
                <w:b/>
                <w:bCs/>
                <w:color w:val="1F2937"/>
                <w:sz w:val="22"/>
                <w:szCs w:val="22"/>
              </w:rPr>
              <w:t xml:space="preserve">Burgerservicenummer</w:t>
            </w:r>
            <w:r>
              <w:rPr>
                <w:color w:val="1F2937"/>
                <w:sz w:val="22"/>
                <w:szCs w:val="22"/>
              </w:rPr>
              <w:t xml:space="preserve"> — waardeobject, en dat verrast deelnemers omdat het "een identificatie" is. Maar het identificeert een persoon, het is niet de identiteit van het BSN-object zelf. Twee BSN-objecten met dezelfde waarde zijn uitwisselbaar. Dat het als waardeobject wordt gemodelleerd, levert bovendien een plek op voor de elfproef.</w:t>
            </w:r>
          </w:p>
          <w:p>
            <w:pPr>
              <w:spacing w:after="100"/>
            </w:pPr>
          </w:p>
          <w:p>
            <w:pPr>
              <w:spacing w:after="120" w:line="276"/>
            </w:pPr>
            <w:r>
              <w:rPr>
                <w:b/>
                <w:bCs/>
                <w:color w:val="1F2937"/>
                <w:sz w:val="21"/>
                <w:szCs w:val="21"/>
              </w:rPr>
              <w:t xml:space="preserve">c) Peildatum als waardeobject</w:t>
            </w:r>
            <w:r>
              <w:rPr>
                <w:color w:val="1F2937"/>
                <w:sz w:val="21"/>
                <w:szCs w:val="21"/>
              </w:rPr>
              <w:t xml:space="preserve"> draagt: het is een kalenderdag zonder tijdstip; het kent zijn eigen vergelijkingsregels; het kan niet worden geconstrueerd uit een tijdstip zonder expliciete conversie.</w:t>
            </w:r>
          </w:p>
          <w:p>
            <w:pPr>
              <w:spacing w:after="120" w:line="276"/>
            </w:pPr>
            <w:r>
              <w:rPr>
                <w:b/>
                <w:bCs/>
                <w:color w:val="1F2937"/>
                <w:sz w:val="21"/>
                <w:szCs w:val="21"/>
              </w:rPr>
              <w:t xml:space="preserve">De fout die onmogelijk wordt: </w:t>
            </w:r>
            <w:r>
              <w:rPr>
                <w:color w:val="1F2937"/>
                <w:sz w:val="21"/>
                <w:szCs w:val="21"/>
              </w:rPr>
              <w:t xml:space="preserve">een peildatum en een verwerkingsdatum verwisselen. Beide zijn "een datum" in een generiek type en dus verwisselbaar; als aparte typen weigert de compiler. Dat is de verschuiving van "afgesproken" naar "onvermijdelijk" uit de borgingsladder van deel 9 — bij het enige cross-cutting concept dat in niveau 1 niet te automatiseren bleek.</w:t>
            </w:r>
          </w:p>
          <w:p>
            <w:pPr>
              <w:spacing w:after="120" w:line="276"/>
            </w:pPr>
            <w:r>
              <w:rPr>
                <w:color w:val="1F2937"/>
                <w:sz w:val="21"/>
                <w:szCs w:val="21"/>
              </w:rPr>
              <w:t xml:space="preserve">Dit is het sterkste praktische argument voor waardeobjecten in deze sector, en het is nuttig het zo te formuleren: u koopt met een half uur werk een categorie fouten weg die anders alleen door oplettendheid wordt tegengehouden.</w:t>
            </w:r>
          </w:p>
          <w:p>
            <w:pPr>
              <w:spacing w:after="120" w:line="276"/>
            </w:pPr>
            <w:r>
              <w:rPr>
                <w:b/>
                <w:bCs/>
                <w:color w:val="1F2937"/>
                <w:sz w:val="21"/>
                <w:szCs w:val="21"/>
              </w:rPr>
              <w:t xml:space="preserve">d)</w:t>
            </w:r>
            <w:r>
              <w:rPr>
                <w:color w:val="1F2937"/>
                <w:sz w:val="21"/>
                <w:szCs w:val="21"/>
              </w:rPr>
              <w:t xml:space="preserve"> Bij het mutatieaggregaat. Een bijlage bestaat niet zelfstandig — zij is aangeleverd bij een mutatie, en haar levensduur is die van de mutatie. Zelfstandig maken levert een aggregaat op zonder eigen invarianten en met een verwijzing die altijd gevuld moet zijn; dat is een aanwijzing dat de grens verkeerd ligt.</w:t>
            </w:r>
          </w:p>
        </w:tc>
      </w:tr>
    </w:tbl>
    <w:p>
      <w:pPr>
        <w:spacing w:after="300"/>
      </w:pPr>
    </w:p>
    <w:p>
      <w:pPr>
        <w:pStyle w:val="Heading1"/>
        <w:pBdr>
          <w:bottom w:val="single" w:color="E5E7EB" w:sz="6" w:space="6"/>
        </w:pBdr>
        <w:spacing w:after="180" w:before="380"/>
      </w:pPr>
      <w:r>
        <w:rPr>
          <w:b/>
          <w:bCs/>
          <w:color w:val="1F3A5F"/>
          <w:sz w:val="30"/>
          <w:szCs w:val="30"/>
        </w:rPr>
        <w:t xml:space="preserve">Opdracht 12.2 — Aggregaatgrenzen bepalen (groepen van vier, 40 minuten)</w:t>
      </w:r>
    </w:p>
    <w:p>
      <w:pPr>
        <w:spacing w:after="160" w:line="276"/>
      </w:pPr>
      <w:r>
        <w:rPr>
          <w:color w:val="1F2937"/>
          <w:sz w:val="22"/>
          <w:szCs w:val="22"/>
        </w:rPr>
        <w:t xml:space="preserve">Bijlage AE bevat het aggregaat zoals het team het in sprint 5 bouwde.</w:t>
      </w:r>
    </w:p>
    <w:p>
      <w:pPr>
        <w:pStyle w:val="ListParagraph"/>
        <w:numPr>
          <w:ilvl w:val="0"/>
          <w:numId w:val="2"/>
        </w:numPr>
        <w:spacing w:after="100"/>
      </w:pPr>
      <w:r>
        <w:rPr>
          <w:b/>
          <w:bCs/>
          <w:color w:val="1F2937"/>
          <w:sz w:val="22"/>
          <w:szCs w:val="22"/>
        </w:rPr>
        <w:t xml:space="preserve">a)</w:t>
      </w:r>
      <w:r>
        <w:rPr>
          <w:color w:val="1F2937"/>
          <w:sz w:val="22"/>
          <w:szCs w:val="22"/>
        </w:rPr>
        <w:t xml:space="preserve"> Maak een lijst van alle regels die in dit gebied gelden. Minimaal tien. Formuleer ze als uitspraken die waar moeten zijn, niet als handelingen.</w:t>
      </w:r>
    </w:p>
    <w:p>
      <w:pPr>
        <w:pStyle w:val="ListParagraph"/>
        <w:numPr>
          <w:ilvl w:val="0"/>
          <w:numId w:val="2"/>
        </w:numPr>
        <w:spacing w:after="100"/>
      </w:pPr>
      <w:r>
        <w:rPr>
          <w:b/>
          <w:bCs/>
          <w:color w:val="1F2937"/>
          <w:sz w:val="22"/>
          <w:szCs w:val="22"/>
        </w:rPr>
        <w:t xml:space="preserve">b)</w:t>
      </w:r>
      <w:r>
        <w:rPr>
          <w:color w:val="1F2937"/>
          <w:sz w:val="22"/>
          <w:szCs w:val="22"/>
        </w:rPr>
        <w:t xml:space="preserve"> Beoordeel per regel: moet dit op elk moment kloppen, of mag het een seconde later kloppen? Gebruik de toets: als dit een seconde later klopt, wat gaat er dan mis, en voor wie?</w:t>
      </w:r>
    </w:p>
    <w:p>
      <w:pPr>
        <w:pStyle w:val="ListParagraph"/>
        <w:numPr>
          <w:ilvl w:val="0"/>
          <w:numId w:val="2"/>
        </w:numPr>
        <w:spacing w:after="100"/>
      </w:pPr>
      <w:r>
        <w:rPr>
          <w:b/>
          <w:bCs/>
          <w:color w:val="1F2937"/>
          <w:sz w:val="22"/>
          <w:szCs w:val="22"/>
        </w:rPr>
        <w:t xml:space="preserve">c)</w:t>
      </w:r>
      <w:r>
        <w:rPr>
          <w:color w:val="1F2937"/>
          <w:sz w:val="22"/>
          <w:szCs w:val="22"/>
        </w:rPr>
        <w:t xml:space="preserve"> Trek op basis van b) de aggregaatgrenzen. Hoeveel aggregaten houdt u over?</w:t>
      </w:r>
    </w:p>
    <w:p>
      <w:pPr>
        <w:pStyle w:val="ListParagraph"/>
        <w:numPr>
          <w:ilvl w:val="0"/>
          <w:numId w:val="2"/>
        </w:numPr>
        <w:spacing w:after="100"/>
      </w:pPr>
      <w:r>
        <w:rPr>
          <w:b/>
          <w:bCs/>
          <w:color w:val="1F2937"/>
          <w:sz w:val="22"/>
          <w:szCs w:val="22"/>
        </w:rPr>
        <w:t xml:space="preserve">d)</w:t>
      </w:r>
      <w:r>
        <w:rPr>
          <w:color w:val="1F2937"/>
          <w:sz w:val="22"/>
          <w:szCs w:val="22"/>
        </w:rPr>
        <w:t xml:space="preserve"> Teken de verwijzingen tussen uw aggregaten. Zijn het identiteiten of objecten? Corrigeer waar nodig.</w:t>
      </w:r>
    </w:p>
    <w:p>
      <w:pPr>
        <w:pStyle w:val="ListParagraph"/>
        <w:numPr>
          <w:ilvl w:val="0"/>
          <w:numId w:val="2"/>
        </w:numPr>
        <w:spacing w:after="100"/>
      </w:pPr>
      <w:r>
        <w:rPr>
          <w:b/>
          <w:bCs/>
          <w:color w:val="1F2937"/>
          <w:sz w:val="22"/>
          <w:szCs w:val="22"/>
        </w:rPr>
        <w:t xml:space="preserve">e)</w:t>
      </w:r>
      <w:r>
        <w:rPr>
          <w:color w:val="1F2937"/>
          <w:sz w:val="22"/>
          <w:szCs w:val="22"/>
        </w:rPr>
        <w:t xml:space="preserve"> Benoem de domeingebeurtenissen die uw aggregaten verbinden. Formuleer ze in domeintaal en in voltooide vorm.</w:t>
      </w:r>
    </w:p>
    <w:p>
      <w:pPr>
        <w:pStyle w:val="ListParagraph"/>
        <w:numPr>
          <w:ilvl w:val="0"/>
          <w:numId w:val="2"/>
        </w:numPr>
        <w:spacing w:after="100"/>
      </w:pPr>
      <w:r>
        <w:rPr>
          <w:b/>
          <w:bCs/>
          <w:color w:val="1F2937"/>
          <w:sz w:val="22"/>
          <w:szCs w:val="22"/>
        </w:rPr>
        <w:t xml:space="preserve">f)</w:t>
      </w:r>
      <w:r>
        <w:rPr>
          <w:color w:val="1F2937"/>
          <w:sz w:val="22"/>
          <w:szCs w:val="22"/>
        </w:rPr>
        <w:t xml:space="preserve"> Toets tegen regel 2. Loop drie handelingen na — een mutatie indienen, een mutatie goedkeuren, een verevening berekenen — en controleer of elke handeling precies één aggregaat wijzigt. Waar dat niet zo is: verplaatst u de grens, of maakt u het uiteindelijk-consistent?</w:t>
      </w:r>
    </w:p>
    <w:p>
      <w:pPr>
        <w:spacing w:after="160" w:line="276"/>
      </w:pPr>
      <w:r>
        <w:rPr>
          <w:color w:val="1F2937"/>
          <w:sz w:val="22"/>
          <w:szCs w:val="22"/>
        </w:rPr>
        <w:t xml:space="preserve">Presenteer c) en f) plenair.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12.2</w:t>
            </w:r>
          </w:p>
          <w:p>
            <w:pPr>
              <w:spacing w:after="80"/>
            </w:pPr>
          </w:p>
          <w:p>
            <w:pPr>
              <w:spacing w:after="120" w:line="276"/>
            </w:pPr>
            <w:r>
              <w:rPr>
                <w:b/>
                <w:bCs/>
                <w:color w:val="1F2937"/>
                <w:sz w:val="21"/>
                <w:szCs w:val="21"/>
              </w:rPr>
              <w:t xml:space="preserve">a) De regels</w:t>
            </w:r>
            <w:r>
              <w:rPr>
                <w:color w:val="1F2937"/>
                <w:sz w:val="21"/>
                <w:szCs w:val="21"/>
              </w:rPr>
              <w:t xml:space="preserve"> in dit gebied; een verdedigbare lijst:</w:t>
            </w:r>
          </w:p>
          <w:p>
            <w:pPr>
              <w:pStyle w:val="ListParagraph"/>
              <w:numPr>
                <w:ilvl w:val="0"/>
                <w:numId w:val="3"/>
              </w:numPr>
              <w:spacing w:after="120"/>
            </w:pPr>
            <w:r>
              <w:rPr>
                <w:color w:val="1F2937"/>
                <w:sz w:val="22"/>
                <w:szCs w:val="22"/>
              </w:rPr>
              <w:t xml:space="preserve">Een mutatie kan niet worden goedgekeurd door de indiener.</w:t>
            </w:r>
          </w:p>
          <w:p>
            <w:pPr>
              <w:pStyle w:val="ListParagraph"/>
              <w:numPr>
                <w:ilvl w:val="0"/>
                <w:numId w:val="3"/>
              </w:numPr>
              <w:spacing w:after="120"/>
            </w:pPr>
            <w:r>
              <w:rPr>
                <w:color w:val="1F2937"/>
                <w:sz w:val="22"/>
                <w:szCs w:val="22"/>
              </w:rPr>
              <w:t xml:space="preserve">Een goedgekeurde mutatie heeft alle vereiste bijlagen.</w:t>
            </w:r>
          </w:p>
          <w:p>
            <w:pPr>
              <w:pStyle w:val="ListParagraph"/>
              <w:numPr>
                <w:ilvl w:val="0"/>
                <w:numId w:val="3"/>
              </w:numPr>
              <w:spacing w:after="120"/>
            </w:pPr>
            <w:r>
              <w:rPr>
                <w:color w:val="1F2937"/>
                <w:sz w:val="22"/>
                <w:szCs w:val="22"/>
              </w:rPr>
              <w:t xml:space="preserve">Een mutatie in status afgerond kan niet meer worden gewijzigd.</w:t>
            </w:r>
          </w:p>
          <w:p>
            <w:pPr>
              <w:pStyle w:val="ListParagraph"/>
              <w:numPr>
                <w:ilvl w:val="0"/>
                <w:numId w:val="3"/>
              </w:numPr>
              <w:spacing w:after="120"/>
            </w:pPr>
            <w:r>
              <w:rPr>
                <w:color w:val="1F2937"/>
                <w:sz w:val="22"/>
                <w:szCs w:val="22"/>
              </w:rPr>
              <w:t xml:space="preserve">Een scheidingsmutatie heeft precies twee partijen.</w:t>
            </w:r>
          </w:p>
          <w:p>
            <w:pPr>
              <w:pStyle w:val="ListParagraph"/>
              <w:numPr>
                <w:ilvl w:val="0"/>
                <w:numId w:val="3"/>
              </w:numPr>
              <w:spacing w:after="120"/>
            </w:pPr>
            <w:r>
              <w:rPr>
                <w:color w:val="1F2937"/>
                <w:sz w:val="22"/>
                <w:szCs w:val="22"/>
              </w:rPr>
              <w:t xml:space="preserve">De vereveningsuitkomst hoort bij de gegevens waarop zij is berekend.</w:t>
            </w:r>
          </w:p>
          <w:p>
            <w:pPr>
              <w:pStyle w:val="ListParagraph"/>
              <w:numPr>
                <w:ilvl w:val="0"/>
                <w:numId w:val="3"/>
              </w:numPr>
              <w:spacing w:after="120"/>
            </w:pPr>
            <w:r>
              <w:rPr>
                <w:color w:val="1F2937"/>
                <w:sz w:val="22"/>
                <w:szCs w:val="22"/>
              </w:rPr>
              <w:t xml:space="preserve">Een statusovergang is alleen toegestaan volgens de gedefinieerde stroom.</w:t>
            </w:r>
          </w:p>
          <w:p>
            <w:pPr>
              <w:pStyle w:val="ListParagraph"/>
              <w:numPr>
                <w:ilvl w:val="0"/>
                <w:numId w:val="3"/>
              </w:numPr>
              <w:spacing w:after="120"/>
            </w:pPr>
            <w:r>
              <w:rPr>
                <w:color w:val="1F2937"/>
                <w:sz w:val="22"/>
                <w:szCs w:val="22"/>
              </w:rPr>
              <w:t xml:space="preserve">Een deelnemer met status overleden krijgt geen nieuwe mutaties.</w:t>
            </w:r>
          </w:p>
          <w:p>
            <w:pPr>
              <w:pStyle w:val="ListParagraph"/>
              <w:numPr>
                <w:ilvl w:val="0"/>
                <w:numId w:val="3"/>
              </w:numPr>
              <w:spacing w:after="120"/>
            </w:pPr>
            <w:r>
              <w:rPr>
                <w:color w:val="1F2937"/>
                <w:sz w:val="22"/>
                <w:szCs w:val="22"/>
              </w:rPr>
              <w:t xml:space="preserve">Het deelnemersdossier toont de laatste mutatiestatus.</w:t>
            </w:r>
          </w:p>
          <w:p>
            <w:pPr>
              <w:pStyle w:val="ListParagraph"/>
              <w:numPr>
                <w:ilvl w:val="0"/>
                <w:numId w:val="3"/>
              </w:numPr>
              <w:spacing w:after="120"/>
            </w:pPr>
            <w:r>
              <w:rPr>
                <w:color w:val="1F2937"/>
                <w:sz w:val="22"/>
                <w:szCs w:val="22"/>
              </w:rPr>
              <w:t xml:space="preserve">De kernadministratie kent elke afgeronde mutatie.</w:t>
            </w:r>
          </w:p>
          <w:p>
            <w:pPr>
              <w:pStyle w:val="ListParagraph"/>
              <w:numPr>
                <w:ilvl w:val="0"/>
                <w:numId w:val="3"/>
              </w:numPr>
              <w:spacing w:after="120"/>
            </w:pPr>
            <w:r>
              <w:rPr>
                <w:color w:val="1F2937"/>
                <w:sz w:val="22"/>
                <w:szCs w:val="22"/>
              </w:rPr>
              <w:t xml:space="preserve">Het maandoverzicht voor de werkgever bevat alle afgeronde mutaties.</w:t>
            </w:r>
          </w:p>
          <w:p>
            <w:pPr>
              <w:pStyle w:val="ListParagraph"/>
              <w:numPr>
                <w:ilvl w:val="0"/>
                <w:numId w:val="3"/>
              </w:numPr>
              <w:spacing w:after="120"/>
            </w:pPr>
            <w:r>
              <w:rPr>
                <w:color w:val="1F2937"/>
                <w:sz w:val="22"/>
                <w:szCs w:val="22"/>
              </w:rPr>
              <w:t xml:space="preserve">Elke goedkeuring is herleidbaar tot een medewerker en een tijdstip.</w:t>
            </w:r>
          </w:p>
          <w:p>
            <w:pPr>
              <w:spacing w:after="100"/>
            </w:pPr>
          </w:p>
          <w:p>
            <w:pPr>
              <w:spacing w:after="120" w:line="276"/>
            </w:pPr>
            <w:r>
              <w:rPr>
                <w:b/>
                <w:bCs/>
                <w:color w:val="1F2937"/>
                <w:sz w:val="21"/>
                <w:szCs w:val="21"/>
              </w:rPr>
              <w:t xml:space="preserve">b) Onmiddellijk:</w:t>
            </w:r>
            <w:r>
              <w:rPr>
                <w:color w:val="1F2937"/>
                <w:sz w:val="21"/>
                <w:szCs w:val="21"/>
              </w:rPr>
              <w:t xml:space="preserve"> 1, 2, 3, 4, 5, 6, 11. Uiteindelijk: 8, 9, 10.</w:t>
            </w:r>
          </w:p>
          <w:p>
            <w:pPr>
              <w:spacing w:after="120" w:line="276"/>
            </w:pPr>
            <w:r>
              <w:rPr>
                <w:b/>
                <w:bCs/>
                <w:color w:val="1F2937"/>
                <w:sz w:val="21"/>
                <w:szCs w:val="21"/>
              </w:rPr>
              <w:t xml:space="preserve">Regel 7 is het interessante geval</w:t>
            </w:r>
            <w:r>
              <w:rPr>
                <w:color w:val="1F2937"/>
                <w:sz w:val="21"/>
                <w:szCs w:val="21"/>
              </w:rPr>
              <w:t xml:space="preserve"> en levert de beste discussie. Zij raakt twee aggregaten (deelnemer en mutatie) en zij voelt als onmiddellijk. Maar bedenk wat er misgaat als zij een seconde later klopt: een mutatie wordt aangemaakt op een deelnemer die zojuist als overleden is geregistreerd. Dat is hinderlijk en herstelbaar — de mutatie wordt afgekeurd zodra de gebeurtenis is verwerkt.</w:t>
            </w:r>
          </w:p>
          <w:p>
            <w:pPr>
              <w:spacing w:after="120" w:line="276"/>
            </w:pPr>
            <w:r>
              <w:rPr>
                <w:color w:val="1F2937"/>
                <w:sz w:val="21"/>
                <w:szCs w:val="21"/>
              </w:rPr>
              <w:t xml:space="preserve">Wilt u haar toch onmiddellijk, dan moet u deelnemer en mutatie in één aggregaat stoppen, en dan zit u weer bij het probleem uit sprint 5. Dit is het schoolvoorbeeld van de afweging: u koopt onmiddellijke consistentie op een randgeval met permanente gelijktijdigheids- en prestatieproblemen op het hoofdpad.</w:t>
            </w:r>
          </w:p>
          <w:p>
            <w:pPr>
              <w:spacing w:after="120" w:line="276"/>
            </w:pPr>
            <w:r>
              <w:rPr>
                <w:b/>
                <w:bCs/>
                <w:color w:val="1F2937"/>
                <w:sz w:val="21"/>
                <w:szCs w:val="21"/>
              </w:rPr>
              <w:t xml:space="preserve">c) Drie aggregaten:</w:t>
            </w:r>
            <w:r>
              <w:rPr>
                <w:color w:val="1F2937"/>
                <w:sz w:val="21"/>
                <w:szCs w:val="21"/>
              </w:rPr>
              <w:t xml:space="preserve"> de mutatie (met bijlagen, goedkeuringen, statusovergangen), de deelnemer, en de vereveningsberekening. Groepen die op twee uitkomen, voegen de berekening bij de mutatie — verdedigbaar, mits de berekening niet zelfstandig herrekend moet kunnen worden.</w:t>
            </w:r>
          </w:p>
          <w:p>
            <w:pPr>
              <w:spacing w:after="120" w:line="276"/>
            </w:pPr>
            <w:r>
              <w:rPr>
                <w:b/>
                <w:bCs/>
                <w:color w:val="1F2937"/>
                <w:sz w:val="21"/>
                <w:szCs w:val="21"/>
              </w:rPr>
              <w:t xml:space="preserve">e) Domeingebeurtenissen:</w:t>
            </w:r>
            <w:r>
              <w:rPr>
                <w:color w:val="1F2937"/>
                <w:sz w:val="21"/>
                <w:szCs w:val="21"/>
              </w:rPr>
              <w:t xml:space="preserve"> mutatie ingediend, mutatie goedgekeurd, verevening berekend, mutatie afgerond, deelnemer overleden geregistreerd, mutatie doorgegeven aan kernadministratie.</w:t>
            </w:r>
          </w:p>
          <w:p>
            <w:pPr>
              <w:spacing w:after="120" w:line="276"/>
            </w:pPr>
            <w:r>
              <w:rPr>
                <w:color w:val="1F2937"/>
                <w:sz w:val="21"/>
                <w:szCs w:val="21"/>
              </w:rPr>
              <w:t xml:space="preserve">Merk op dat dit precies de gebeurtenissen zijn die in de werksessie van deel 11 op de tijdlijn stonden. Dat is geen toeval: de gebeurtenissen die domeindeskundigen noemen, zijn de gebeurtenissen die uw aggregaten verbinden.</w:t>
            </w:r>
          </w:p>
          <w:p>
            <w:pPr>
              <w:spacing w:after="120" w:line="276"/>
            </w:pPr>
            <w:r>
              <w:rPr>
                <w:b/>
                <w:bCs/>
                <w:color w:val="1F2937"/>
                <w:sz w:val="21"/>
                <w:szCs w:val="21"/>
              </w:rPr>
              <w:t xml:space="preserve">f)</w:t>
            </w:r>
            <w:r>
              <w:rPr>
                <w:color w:val="1F2937"/>
                <w:sz w:val="21"/>
                <w:szCs w:val="21"/>
              </w:rPr>
              <w:t xml:space="preserve"> Mutatie indienen wijzigt alleen het mutatieaggregaat. Goedkeuren idem. Verevening berekenen wijzigt het berekeningsaggregaat en publiceert een gebeurtenis waarop de mutatie reageert.</w:t>
            </w:r>
          </w:p>
          <w:p>
            <w:pPr>
              <w:spacing w:after="120" w:line="276"/>
            </w:pPr>
            <w:r>
              <w:rPr>
                <w:color w:val="1F2937"/>
                <w:sz w:val="21"/>
                <w:szCs w:val="21"/>
              </w:rPr>
              <w:t xml:space="preserve">De handeling die groepen vaak fout hebben, is mutatie afronden: die wil de deelnemersstatus bijwerken én de mutatie sluiten. Oplossing: de mutatie sluit zichzelf en publiceert mutatie afgerond; de deelnemersmodule reageert daarop.</w:t>
            </w:r>
          </w:p>
        </w:tc>
      </w:tr>
    </w:tbl>
    <w:p>
      <w:pPr>
        <w:spacing w:after="300"/>
      </w:pPr>
    </w:p>
    <w:p>
      <w:pPr>
        <w:pStyle w:val="Heading1"/>
        <w:pBdr>
          <w:bottom w:val="single" w:color="E5E7EB" w:sz="6" w:space="6"/>
        </w:pBdr>
        <w:spacing w:after="180" w:before="380"/>
      </w:pPr>
      <w:r>
        <w:rPr>
          <w:b/>
          <w:bCs/>
          <w:color w:val="1F3A5F"/>
          <w:sz w:val="30"/>
          <w:szCs w:val="30"/>
        </w:rPr>
        <w:t xml:space="preserve">Opdracht 12.3 — Het gelijktijdigheidsincident (duo's, 25 minuten)</w:t>
      </w:r>
    </w:p>
    <w:p>
      <w:pPr>
        <w:spacing w:after="160" w:line="276"/>
      </w:pPr>
      <w:r>
        <w:rPr>
          <w:color w:val="1F2937"/>
          <w:sz w:val="22"/>
          <w:szCs w:val="22"/>
        </w:rPr>
        <w:t xml:space="preserve">Bijlage AF bevat de tijdlijn van twee behandelaars die tegelijk aan hetzelfde dossier werkten en waarbij de wijzigingen van de eerste verloren gingen.</w:t>
      </w:r>
    </w:p>
    <w:p>
      <w:pPr>
        <w:pStyle w:val="ListParagraph"/>
        <w:numPr>
          <w:ilvl w:val="0"/>
          <w:numId w:val="2"/>
        </w:numPr>
        <w:spacing w:after="100"/>
      </w:pPr>
      <w:r>
        <w:rPr>
          <w:b/>
          <w:bCs/>
          <w:color w:val="1F2937"/>
          <w:sz w:val="22"/>
          <w:szCs w:val="22"/>
        </w:rPr>
        <w:t xml:space="preserve">a)</w:t>
      </w:r>
      <w:r>
        <w:rPr>
          <w:color w:val="1F2937"/>
          <w:sz w:val="22"/>
          <w:szCs w:val="22"/>
        </w:rPr>
        <w:t xml:space="preserve"> Reconstrueer waar precies het werk verloren ging. Welk aggregaat werd door beiden geladen en opgeslagen?</w:t>
      </w:r>
    </w:p>
    <w:p>
      <w:pPr>
        <w:pStyle w:val="ListParagraph"/>
        <w:numPr>
          <w:ilvl w:val="0"/>
          <w:numId w:val="2"/>
        </w:numPr>
        <w:spacing w:after="100"/>
      </w:pPr>
      <w:r>
        <w:rPr>
          <w:b/>
          <w:bCs/>
          <w:color w:val="1F2937"/>
          <w:sz w:val="22"/>
          <w:szCs w:val="22"/>
        </w:rPr>
        <w:t xml:space="preserve">b)</w:t>
      </w:r>
      <w:r>
        <w:rPr>
          <w:color w:val="1F2937"/>
          <w:sz w:val="22"/>
          <w:szCs w:val="22"/>
        </w:rPr>
        <w:t xml:space="preserve"> Met de aggregaatindeling uit opdracht 12.2: zou dit incident nog optreden? Beantwoord voor beide gevallen — dezelfde mutatie, en twee verschillende mutaties op dezelfde deelnemer.</w:t>
      </w:r>
    </w:p>
    <w:p>
      <w:pPr>
        <w:pStyle w:val="ListParagraph"/>
        <w:numPr>
          <w:ilvl w:val="0"/>
          <w:numId w:val="2"/>
        </w:numPr>
        <w:spacing w:after="100"/>
      </w:pPr>
      <w:r>
        <w:rPr>
          <w:b/>
          <w:bCs/>
          <w:color w:val="1F2937"/>
          <w:sz w:val="22"/>
          <w:szCs w:val="22"/>
        </w:rPr>
        <w:t xml:space="preserve">c)</w:t>
      </w:r>
      <w:r>
        <w:rPr>
          <w:color w:val="1F2937"/>
          <w:sz w:val="22"/>
          <w:szCs w:val="22"/>
        </w:rPr>
        <w:t xml:space="preserve"> Voor het geval dat nog wél een conflict is: welk mechanisme lost het op? Beschrijf wat de tweede behandelaar te zien krijgt.</w:t>
      </w:r>
    </w:p>
    <w:p>
      <w:pPr>
        <w:pStyle w:val="ListParagraph"/>
        <w:numPr>
          <w:ilvl w:val="0"/>
          <w:numId w:val="2"/>
        </w:numPr>
        <w:spacing w:after="100"/>
      </w:pPr>
      <w:r>
        <w:rPr>
          <w:b/>
          <w:bCs/>
          <w:color w:val="1F2937"/>
          <w:sz w:val="22"/>
          <w:szCs w:val="22"/>
        </w:rPr>
        <w:t xml:space="preserve">d)</w:t>
      </w:r>
      <w:r>
        <w:rPr>
          <w:color w:val="1F2937"/>
          <w:sz w:val="22"/>
          <w:szCs w:val="22"/>
        </w:rPr>
        <w:t xml:space="preserve"> Verbind met deel 2 van niveau 1: welk scenario uit het rollenspel met de mutatiebehandelaar wordt hier alsnog gerealiseerd?</w:t>
      </w:r>
    </w:p>
    <w:p>
      <w:pPr>
        <w:spacing w:after="160" w:line="276"/>
      </w:pPr>
      <w:r>
        <w:rPr>
          <w:color w:val="1F2937"/>
          <w:sz w:val="22"/>
          <w:szCs w:val="22"/>
        </w:rPr>
        <w:t xml:space="preserve">Onderdeel b) is de kern: een deel van de conflicten verdwijnt en een deel blijft — en dat is de bedoeling. Een ontwerp waarin nooit een conflict optreedt, verbergt ze.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12.3</w:t>
            </w:r>
          </w:p>
          <w:p>
            <w:pPr>
              <w:spacing w:after="80"/>
            </w:pPr>
          </w:p>
          <w:p>
            <w:pPr>
              <w:spacing w:after="120" w:line="276"/>
            </w:pPr>
            <w:r>
              <w:rPr>
                <w:b/>
                <w:bCs/>
                <w:color w:val="1F2937"/>
                <w:sz w:val="21"/>
                <w:szCs w:val="21"/>
              </w:rPr>
              <w:t xml:space="preserve">a)</w:t>
            </w:r>
            <w:r>
              <w:rPr>
                <w:color w:val="1F2937"/>
                <w:sz w:val="21"/>
                <w:szCs w:val="21"/>
              </w:rPr>
              <w:t xml:space="preserve"> Beide behandelaars laadden het volledige dossieraggregaat — inclusief deelnemer, alle lopende mutaties en bijlagen — en sloegen het in zijn geheel op. De tweede opslag overschreef de wijziging van de eerste, ook al werkten zij aan verschillende mutaties.</w:t>
            </w:r>
          </w:p>
          <w:p>
            <w:pPr>
              <w:spacing w:after="120" w:line="276"/>
            </w:pPr>
            <w:r>
              <w:rPr>
                <w:b/>
                <w:bCs/>
                <w:color w:val="1F2937"/>
                <w:sz w:val="21"/>
                <w:szCs w:val="21"/>
              </w:rPr>
              <w:t xml:space="preserve">b)</w:t>
            </w:r>
            <w:r>
              <w:rPr>
                <w:color w:val="1F2937"/>
                <w:sz w:val="21"/>
                <w:szCs w:val="21"/>
              </w:rPr>
              <w:t xml:space="preserve"> Bij twee verschillende mutaties op dezelfde deelnemer: het conflict verdwijnt. Zij bewerken nu verschillende aggregaten. Dit is de belangrijkste winst en zij is precies de vorm van onterecht conflict die grote aggregaten veroorzaken.</w:t>
            </w:r>
          </w:p>
          <w:p>
            <w:pPr>
              <w:spacing w:after="120" w:line="276"/>
            </w:pPr>
            <w:r>
              <w:rPr>
                <w:color w:val="1F2937"/>
                <w:sz w:val="21"/>
                <w:szCs w:val="21"/>
              </w:rPr>
              <w:t xml:space="preserve">Bij dezelfde mutatie: het conflict blijft, en dat is correct. Twee mensen die tegelijk dezelfde mutatie bewerken, hébben een conflict; dat is geen technisch probleem maar een werkelijk probleem dat zichtbaar moet worden.</w:t>
            </w:r>
          </w:p>
          <w:p>
            <w:pPr>
              <w:spacing w:after="120" w:line="276"/>
            </w:pPr>
            <w:r>
              <w:rPr>
                <w:color w:val="1F2937"/>
                <w:sz w:val="21"/>
                <w:szCs w:val="21"/>
              </w:rPr>
              <w:t xml:space="preserve">Een ontwerp waarin nooit een conflict optreedt, verbergt ze — dat is wat er in sprint 5 gebeurde: er was geen foutmelding, alleen verdwenen werk.</w:t>
            </w:r>
          </w:p>
          <w:p>
            <w:pPr>
              <w:spacing w:after="120" w:line="276"/>
            </w:pPr>
            <w:r>
              <w:rPr>
                <w:b/>
                <w:bCs/>
                <w:color w:val="1F2937"/>
                <w:sz w:val="21"/>
                <w:szCs w:val="21"/>
              </w:rPr>
              <w:t xml:space="preserve">c)</w:t>
            </w:r>
            <w:r>
              <w:rPr>
                <w:color w:val="1F2937"/>
                <w:sz w:val="21"/>
                <w:szCs w:val="21"/>
              </w:rPr>
              <w:t xml:space="preserve"> Een versienummer op het aggregaat dat bij opslag wordt gecontroleerd. De tweede behandelaar krijgt te zien dat de mutatie inmiddels is gewijzigd, door wie en wanneer, met de mogelijkheid om te herladen — niet een technische foutmelding maar een begrijpelijke boodschap in de taal van haar werk.</w:t>
            </w:r>
          </w:p>
          <w:p>
            <w:pPr>
              <w:spacing w:after="120" w:line="276"/>
            </w:pPr>
            <w:r>
              <w:rPr>
                <w:b/>
                <w:bCs/>
                <w:color w:val="1F2937"/>
                <w:sz w:val="21"/>
                <w:szCs w:val="21"/>
              </w:rPr>
              <w:t xml:space="preserve">d)</w:t>
            </w:r>
            <w:r>
              <w:rPr>
                <w:color w:val="1F2937"/>
                <w:sz w:val="21"/>
                <w:szCs w:val="21"/>
              </w:rPr>
              <w:t xml:space="preserve"> Het scenario uit deel 2: twee mutatiebehandelaars openen hetzelfde dossier; het systeem toont binnen 2 seconden zichtbaar dat een collega het dossier in behandeling heeft, inclusief naam en tijdstip. Dat scenario kwam destijds pas na doorvragen boven en werd toen als architectuurrelevant gemarkeerd. Hier wordt het gerealiseerd.</w:t>
            </w:r>
          </w:p>
          <w:p>
            <w:pPr>
              <w:spacing w:after="120" w:line="276"/>
            </w:pPr>
            <w:r>
              <w:rPr>
                <w:color w:val="1F2937"/>
                <w:sz w:val="21"/>
                <w:szCs w:val="21"/>
              </w:rPr>
              <w:t xml:space="preserve">Merk op dat het versienummer en de zichtbaarheid twee verschillende maatregelen zijn: het eerste voorkomt verlies, het tweede voorkomt dubbel werk. Beide zijn nodig.</w:t>
            </w:r>
          </w:p>
        </w:tc>
      </w:tr>
    </w:tbl>
    <w:p>
      <w:pPr>
        <w:spacing w:after="300"/>
      </w:pPr>
    </w:p>
    <w:p>
      <w:pPr>
        <w:pStyle w:val="Heading1"/>
        <w:pBdr>
          <w:bottom w:val="single" w:color="E5E7EB" w:sz="6" w:space="6"/>
        </w:pBdr>
        <w:spacing w:after="180" w:before="380"/>
      </w:pPr>
      <w:r>
        <w:rPr>
          <w:b/>
          <w:bCs/>
          <w:color w:val="1F3A5F"/>
          <w:sz w:val="30"/>
          <w:szCs w:val="30"/>
        </w:rPr>
        <w:t xml:space="preserve">Opdracht 12.4 — De acht tabellen (duo's, 20 minuten)</w:t>
      </w:r>
    </w:p>
    <w:p>
      <w:pPr>
        <w:spacing w:after="160" w:line="276"/>
      </w:pPr>
      <w:r>
        <w:rPr>
          <w:color w:val="1F2937"/>
          <w:sz w:val="22"/>
          <w:szCs w:val="22"/>
        </w:rPr>
        <w:t xml:space="preserve">Bijlage AG toont welke acht tabellen worden geraakt bij één adreswijziging, met per tabel de reden.</w:t>
      </w:r>
    </w:p>
    <w:p>
      <w:pPr>
        <w:pStyle w:val="ListParagraph"/>
        <w:numPr>
          <w:ilvl w:val="0"/>
          <w:numId w:val="2"/>
        </w:numPr>
        <w:spacing w:after="100"/>
      </w:pPr>
      <w:r>
        <w:rPr>
          <w:b/>
          <w:bCs/>
          <w:color w:val="1F2937"/>
          <w:sz w:val="22"/>
          <w:szCs w:val="22"/>
        </w:rPr>
        <w:t xml:space="preserve">a)</w:t>
      </w:r>
      <w:r>
        <w:rPr>
          <w:color w:val="1F2937"/>
          <w:sz w:val="22"/>
          <w:szCs w:val="22"/>
        </w:rPr>
        <w:t xml:space="preserve"> Bepaal per tabel: hoort deze bij het adresmutatieaggregaat, bij een ander aggregaat, of nergens?</w:t>
      </w:r>
    </w:p>
    <w:p>
      <w:pPr>
        <w:pStyle w:val="ListParagraph"/>
        <w:numPr>
          <w:ilvl w:val="0"/>
          <w:numId w:val="2"/>
        </w:numPr>
        <w:spacing w:after="100"/>
      </w:pPr>
      <w:r>
        <w:rPr>
          <w:b/>
          <w:bCs/>
          <w:color w:val="1F2937"/>
          <w:sz w:val="22"/>
          <w:szCs w:val="22"/>
        </w:rPr>
        <w:t xml:space="preserve">b)</w:t>
      </w:r>
      <w:r>
        <w:rPr>
          <w:color w:val="1F2937"/>
          <w:sz w:val="22"/>
          <w:szCs w:val="22"/>
        </w:rPr>
        <w:t xml:space="preserve"> Hoeveel tabellen blijven er over binnen het adresmutatieaggregaat?</w:t>
      </w:r>
    </w:p>
    <w:p>
      <w:pPr>
        <w:pStyle w:val="ListParagraph"/>
        <w:numPr>
          <w:ilvl w:val="0"/>
          <w:numId w:val="2"/>
        </w:numPr>
        <w:spacing w:after="100"/>
      </w:pPr>
      <w:r>
        <w:rPr>
          <w:b/>
          <w:bCs/>
          <w:color w:val="1F2937"/>
          <w:sz w:val="22"/>
          <w:szCs w:val="22"/>
        </w:rPr>
        <w:t xml:space="preserve">c)</w:t>
      </w:r>
      <w:r>
        <w:rPr>
          <w:color w:val="1F2937"/>
          <w:sz w:val="22"/>
          <w:szCs w:val="22"/>
        </w:rPr>
        <w:t xml:space="preserve"> Voor de tabellen die bij een ander aggregaat horen: welke domeingebeurtenis zorgt ervoor dat zij worden bijgewerkt?</w:t>
      </w:r>
    </w:p>
    <w:p>
      <w:pPr>
        <w:pStyle w:val="ListParagraph"/>
        <w:numPr>
          <w:ilvl w:val="0"/>
          <w:numId w:val="2"/>
        </w:numPr>
        <w:spacing w:after="100"/>
      </w:pPr>
      <w:r>
        <w:rPr>
          <w:b/>
          <w:bCs/>
          <w:color w:val="1F2937"/>
          <w:sz w:val="22"/>
          <w:szCs w:val="22"/>
        </w:rPr>
        <w:t xml:space="preserve">d)</w:t>
      </w:r>
      <w:r>
        <w:rPr>
          <w:color w:val="1F2937"/>
          <w:sz w:val="22"/>
          <w:szCs w:val="22"/>
        </w:rPr>
        <w:t xml:space="preserve"> Reken uit wat dit betekent voor QS-1. Als het schrijven naar één tabel gemiddeld 4 milliseconden kost en er transactieoverhead per tabel bijkomt — wat is de winst, en is die relevant ten opzichte van de andere posten uit de meting in deel 6?</w:t>
      </w:r>
    </w:p>
    <w:p>
      <w:pPr>
        <w:spacing w:after="160" w:line="276"/>
      </w:pPr>
      <w:r>
        <w:rPr>
          <w:color w:val="1F2937"/>
          <w:sz w:val="22"/>
          <w:szCs w:val="22"/>
        </w:rPr>
        <w:t xml:space="preserve">Onderdeel d) is een eerlijkheidstoets: de winst is reëel maar klein ten opzichte van de netwerk- en koppelvlakposten. Dat is een goede gelegenheid om te oefenen in het niet-overdrijven van een verbetering.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12.4</w:t>
            </w:r>
          </w:p>
          <w:p>
            <w:pPr>
              <w:spacing w:after="80"/>
            </w:pPr>
          </w:p>
          <w:p>
            <w:pPr>
              <w:spacing w:after="120" w:line="276"/>
            </w:pPr>
            <w:r>
              <w:rPr>
                <w:b/>
                <w:bCs/>
                <w:color w:val="1F2937"/>
                <w:sz w:val="21"/>
                <w:szCs w:val="21"/>
              </w:rPr>
              <w:t xml:space="preserve">a/b)</w:t>
            </w:r>
            <w:r>
              <w:rPr>
                <w:color w:val="1F2937"/>
                <w:sz w:val="21"/>
                <w:szCs w:val="21"/>
              </w:rPr>
              <w:t xml:space="preserve"> Van de acht tabellen horen er doorgaans drie bij het adresmutatieaggregaat (de mutatie, haar statusovergangen, haar bijlagen). Twee horen bij het deelnemersaggregaat. Twee horen bij afgeleide leesmodellen. Eén is een auditregel die naar de gebeurtenisopslag verhuist.</w:t>
            </w:r>
          </w:p>
          <w:p>
            <w:pPr>
              <w:spacing w:after="120" w:line="276"/>
            </w:pPr>
            <w:r>
              <w:rPr>
                <w:b/>
                <w:bCs/>
                <w:color w:val="1F2937"/>
                <w:sz w:val="21"/>
                <w:szCs w:val="21"/>
              </w:rPr>
              <w:t xml:space="preserve">c)</w:t>
            </w:r>
            <w:r>
              <w:rPr>
                <w:color w:val="1F2937"/>
                <w:sz w:val="21"/>
                <w:szCs w:val="21"/>
              </w:rPr>
              <w:t xml:space="preserve"> De deelnemerstabellen worden bijgewerkt op mutatie afgerond; de leesmodellen op dezelfde gebeurtenis; de auditregel wordt vervangen door de gebeurtenis zelf.</w:t>
            </w:r>
          </w:p>
          <w:p>
            <w:pPr>
              <w:spacing w:after="120" w:line="276"/>
            </w:pPr>
            <w:r>
              <w:rPr>
                <w:b/>
                <w:bCs/>
                <w:color w:val="1F2937"/>
                <w:sz w:val="21"/>
                <w:szCs w:val="21"/>
              </w:rPr>
              <w:t xml:space="preserve">d) De eerlijkheidstoets.</w:t>
            </w:r>
            <w:r>
              <w:rPr>
                <w:color w:val="1F2937"/>
                <w:sz w:val="21"/>
                <w:szCs w:val="21"/>
              </w:rPr>
              <w:t xml:space="preserve"> Acht tabellen naar drie is een reductie van vijf schrijfacties, bij 4 milliseconden per stuk plus transactieoverhead: grofweg 20 tot 40 milliseconden per mutatie.</w:t>
            </w:r>
          </w:p>
          <w:p>
            <w:pPr>
              <w:spacing w:after="120" w:line="276"/>
            </w:pPr>
            <w:r>
              <w:rPr>
                <w:color w:val="1F2937"/>
                <w:sz w:val="21"/>
                <w:szCs w:val="21"/>
              </w:rPr>
              <w:t xml:space="preserve">Zet dat naast de meting uit deel 6: van de doorlooptijd ging 70% naar wachten op de kernadministratie en 15% naar netwerklatentie. De winst is reëel en klein. Wie hem presenteert als de oplossing van QS-1, overdrijft.</w:t>
            </w:r>
          </w:p>
          <w:p>
            <w:pPr>
              <w:spacing w:after="120" w:line="276"/>
            </w:pPr>
            <w:r>
              <w:rPr>
                <w:color w:val="1F2937"/>
                <w:sz w:val="21"/>
                <w:szCs w:val="21"/>
              </w:rPr>
              <w:t xml:space="preserve">Waar de winst wel groot is: bij gelijktijdigheid. Een kleiner aggregaat betekent een kortere transactie en dus minder kans op conflicten en minder wachttijd bij vijftig gelijktijdige gebruikers. Dat effect is niet lineair en het is bij belasting aanzienlijk groter dan de 30 milliseconden.</w:t>
            </w:r>
          </w:p>
          <w:p>
            <w:pPr>
              <w:spacing w:after="120" w:line="276"/>
            </w:pPr>
            <w:r>
              <w:rPr>
                <w:b/>
                <w:bCs/>
                <w:color w:val="1F2937"/>
                <w:sz w:val="21"/>
                <w:szCs w:val="21"/>
              </w:rPr>
              <w:t xml:space="preserve">Dit is de les van de opdracht: </w:t>
            </w:r>
            <w:r>
              <w:rPr>
                <w:color w:val="1F2937"/>
                <w:sz w:val="21"/>
                <w:szCs w:val="21"/>
              </w:rPr>
              <w:t xml:space="preserve">de goede motivering voor kleinere aggregaten is gelijktijdigheid en wijzigbaarheid, niet de rechtstreekse schrijftijd. Wie de verkeerde motivering gebruikt, wordt bij de eerste meting weersproken.</w:t>
            </w:r>
          </w:p>
        </w:tc>
      </w:tr>
    </w:tbl>
    <w:p>
      <w:pPr>
        <w:spacing w:after="300"/>
      </w:pPr>
    </w:p>
    <w:p>
      <w:pPr>
        <w:pStyle w:val="Heading1"/>
        <w:pBdr>
          <w:bottom w:val="single" w:color="E5E7EB" w:sz="6" w:space="6"/>
        </w:pBdr>
        <w:spacing w:after="180" w:before="380"/>
      </w:pPr>
      <w:r>
        <w:rPr>
          <w:b/>
          <w:bCs/>
          <w:color w:val="1F3A5F"/>
          <w:sz w:val="30"/>
          <w:szCs w:val="30"/>
        </w:rPr>
        <w:t xml:space="preserve">Opdracht 12.5 — Van aggregaten naar modules (groepen van vier,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Leg uw aggregaatindeling naast uw modulith uit deel 5. Vallen ze samen? Waar niet?</w:t>
      </w:r>
    </w:p>
    <w:p>
      <w:pPr>
        <w:pStyle w:val="ListParagraph"/>
        <w:numPr>
          <w:ilvl w:val="0"/>
          <w:numId w:val="2"/>
        </w:numPr>
        <w:spacing w:after="100"/>
      </w:pPr>
      <w:r>
        <w:rPr>
          <w:b/>
          <w:bCs/>
          <w:color w:val="1F2937"/>
          <w:sz w:val="22"/>
          <w:szCs w:val="22"/>
        </w:rPr>
        <w:t xml:space="preserve">b)</w:t>
      </w:r>
      <w:r>
        <w:rPr>
          <w:color w:val="1F2937"/>
          <w:sz w:val="22"/>
          <w:szCs w:val="22"/>
        </w:rPr>
        <w:t xml:space="preserve"> Voor elke module: welke aggregaten bezit zij, en welke gegevens horen daarbij?</w:t>
      </w:r>
    </w:p>
    <w:p>
      <w:pPr>
        <w:pStyle w:val="ListParagraph"/>
        <w:numPr>
          <w:ilvl w:val="0"/>
          <w:numId w:val="2"/>
        </w:numPr>
        <w:spacing w:after="100"/>
      </w:pPr>
      <w:r>
        <w:rPr>
          <w:b/>
          <w:bCs/>
          <w:color w:val="1F2937"/>
          <w:sz w:val="22"/>
          <w:szCs w:val="22"/>
        </w:rPr>
        <w:t xml:space="preserve">c)</w:t>
      </w:r>
      <w:r>
        <w:rPr>
          <w:color w:val="1F2937"/>
          <w:sz w:val="22"/>
          <w:szCs w:val="22"/>
        </w:rPr>
        <w:t xml:space="preserve"> Loop de drie moduleregels uit paragraaf 12.5 na en bepaal per regel hoe u hem handhaaft. Noem het concrete middel.</w:t>
      </w:r>
    </w:p>
    <w:p>
      <w:pPr>
        <w:pStyle w:val="ListParagraph"/>
        <w:numPr>
          <w:ilvl w:val="0"/>
          <w:numId w:val="2"/>
        </w:numPr>
        <w:spacing w:after="100"/>
      </w:pPr>
      <w:r>
        <w:rPr>
          <w:b/>
          <w:bCs/>
          <w:color w:val="1F2937"/>
          <w:sz w:val="22"/>
          <w:szCs w:val="22"/>
        </w:rPr>
        <w:t xml:space="preserve">d)</w:t>
      </w:r>
      <w:r>
        <w:rPr>
          <w:color w:val="1F2937"/>
          <w:sz w:val="22"/>
          <w:szCs w:val="22"/>
        </w:rPr>
        <w:t xml:space="preserve"> Zoek in uw ontwerp één plek waar een handeling twee modules zou moeten wijzigen. Los hem op: grens verleggen, of gebeurtenis.</w:t>
      </w:r>
    </w:p>
    <w:p>
      <w:pPr>
        <w:pStyle w:val="ListParagraph"/>
        <w:numPr>
          <w:ilvl w:val="0"/>
          <w:numId w:val="2"/>
        </w:numPr>
        <w:spacing w:after="100"/>
      </w:pPr>
      <w:r>
        <w:rPr>
          <w:b/>
          <w:bCs/>
          <w:color w:val="1F2937"/>
          <w:sz w:val="22"/>
          <w:szCs w:val="22"/>
        </w:rPr>
        <w:t xml:space="preserve">e)</w:t>
      </w:r>
      <w:r>
        <w:rPr>
          <w:color w:val="1F2937"/>
          <w:sz w:val="22"/>
          <w:szCs w:val="22"/>
        </w:rPr>
        <w:t xml:space="preserve"> De zwakste plek. De aggregaatafbakening zelf is niet machinaal te toetsen. Hoe zorgt u dat een team dat over een jaar een zevende mutatiesoort bouwt, de grenzen goed trekt? Beschrijf het mechanisme, niet het voornemen.</w:t>
      </w:r>
    </w:p>
    <w:p>
      <w:pPr>
        <w:spacing w:after="160" w:line="276"/>
      </w:pPr>
      <w:r>
        <w:rPr>
          <w:color w:val="1F2937"/>
          <w:sz w:val="22"/>
          <w:szCs w:val="22"/>
        </w:rPr>
        <w:t xml:space="preserve">Onderdeel e) verwijst naar de borgingsladder uit deel 9 en naar het gremium. Presenteer d) en e) plenair.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12.5</w:t>
            </w:r>
          </w:p>
          <w:p>
            <w:pPr>
              <w:spacing w:after="80"/>
            </w:pPr>
          </w:p>
          <w:p>
            <w:pPr>
              <w:spacing w:after="120" w:line="276"/>
            </w:pPr>
            <w:r>
              <w:rPr>
                <w:b/>
                <w:bCs/>
                <w:color w:val="1F2937"/>
                <w:sz w:val="21"/>
                <w:szCs w:val="21"/>
              </w:rPr>
              <w:t xml:space="preserve">a)</w:t>
            </w:r>
            <w:r>
              <w:rPr>
                <w:color w:val="1F2937"/>
                <w:sz w:val="21"/>
                <w:szCs w:val="21"/>
              </w:rPr>
              <w:t xml:space="preserve"> Contexten, modules en aggregaten vallen niet één-op-één samen, en de verhouding is: een context bevat modules, een module bezit één of enkele aggregaten.</w:t>
            </w:r>
          </w:p>
          <w:p>
            <w:pPr>
              <w:spacing w:after="120" w:line="276"/>
            </w:pPr>
            <w:r>
              <w:rPr>
                <w:color w:val="1F2937"/>
                <w:sz w:val="21"/>
                <w:szCs w:val="21"/>
              </w:rPr>
              <w:t xml:space="preserve">De meest voorkomende bevinding: de deelnemersmodule uit deel 5 bevat één aggregaat, de mutatiemodules elk één, en de gebeurtenisopslag bevat er geen — dat is geen domeinmodule maar infrastructuur binnen de context.</w:t>
            </w:r>
          </w:p>
          <w:p>
            <w:pPr>
              <w:spacing w:after="120" w:line="276"/>
            </w:pPr>
            <w:r>
              <w:rPr>
                <w:b/>
                <w:bCs/>
                <w:color w:val="1F2937"/>
                <w:sz w:val="21"/>
                <w:szCs w:val="21"/>
              </w:rPr>
              <w:t xml:space="preserve">c) Handhaving:</w:t>
            </w:r>
            <w:r>
              <w:rPr>
                <w:color w:val="1F2937"/>
                <w:sz w:val="21"/>
                <w:szCs w:val="21"/>
              </w:rPr>
              <w:t xml:space="preserve"/>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800"/>
              <w:gridCol w:w="6338"/>
            </w:tblGrid>
            <w:tr>
              <w:trPr>
                <w:tblHeader/>
              </w:trPr>
              <w:tc>
                <w:tcPr>
                  <w:tcW w:type="dxa" w:w="2800"/>
                  <w:shd w:fill="1F3A5F" w:val="clear"/>
                  <w:tcMar>
                    <w:top w:type="dxa" w:w="100"/>
                    <w:left w:type="dxa" w:w="120"/>
                    <w:bottom w:type="dxa" w:w="100"/>
                    <w:right w:type="dxa" w:w="120"/>
                  </w:tcMar>
                  <w:vAlign w:val="center"/>
                </w:tcPr>
                <w:p>
                  <w:r>
                    <w:rPr>
                      <w:b/>
                      <w:bCs/>
                      <w:color w:val="FFFFFF"/>
                      <w:sz w:val="19"/>
                      <w:szCs w:val="19"/>
                    </w:rPr>
                    <w:t xml:space="preserve">Regel</w:t>
                  </w:r>
                </w:p>
              </w:tc>
              <w:tc>
                <w:tcPr>
                  <w:tcW w:type="dxa" w:w="6338"/>
                  <w:shd w:fill="1F3A5F" w:val="clear"/>
                  <w:tcMar>
                    <w:top w:type="dxa" w:w="100"/>
                    <w:left w:type="dxa" w:w="120"/>
                    <w:bottom w:type="dxa" w:w="100"/>
                    <w:right w:type="dxa" w:w="120"/>
                  </w:tcMar>
                  <w:vAlign w:val="center"/>
                </w:tcPr>
                <w:p>
                  <w:r>
                    <w:rPr>
                      <w:b/>
                      <w:bCs/>
                      <w:color w:val="FFFFFF"/>
                      <w:sz w:val="19"/>
                      <w:szCs w:val="19"/>
                    </w:rPr>
                    <w:t xml:space="preserve">Middel</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Eigen gegevens</w:t>
                  </w:r>
                </w:p>
              </w:tc>
              <w:tc>
                <w:tcPr>
                  <w:tcW w:type="dxa" w:w="6338"/>
                  <w:tcMar>
                    <w:top w:type="dxa" w:w="100"/>
                    <w:left w:type="dxa" w:w="120"/>
                    <w:bottom w:type="dxa" w:w="100"/>
                    <w:right w:type="dxa" w:w="120"/>
                  </w:tcMar>
                  <w:vAlign w:val="center"/>
                </w:tcPr>
                <w:p>
                  <w:r>
                    <w:rPr>
                      <w:b w:val="false"/>
                      <w:bCs w:val="false"/>
                      <w:color w:val="1F2937"/>
                      <w:sz w:val="19"/>
                      <w:szCs w:val="19"/>
                    </w:rPr>
                    <w:t xml:space="preserve">Gescheiden schema's met rechten per module — technisch onmogelijk om in andermans tabellen te kijken</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Verwijzen met identiteiten</w:t>
                  </w:r>
                </w:p>
              </w:tc>
              <w:tc>
                <w:tcPr>
                  <w:tcW w:type="dxa" w:w="6338"/>
                  <w:tcMar>
                    <w:top w:type="dxa" w:w="100"/>
                    <w:left w:type="dxa" w:w="120"/>
                    <w:bottom w:type="dxa" w:w="100"/>
                    <w:right w:type="dxa" w:w="120"/>
                  </w:tcMar>
                  <w:vAlign w:val="center"/>
                </w:tcPr>
                <w:p>
                  <w:r>
                    <w:rPr>
                      <w:b w:val="false"/>
                      <w:bCs w:val="false"/>
                      <w:color w:val="1F2937"/>
                      <w:sz w:val="19"/>
                      <w:szCs w:val="19"/>
                    </w:rPr>
                    <w:t xml:space="preserve">Bouwstraatcontrole die faalt bij een typeverwijzing over een modulegrens</w:t>
                  </w:r>
                </w:p>
              </w:tc>
            </w:tr>
            <w:tr>
              <w:trPr>
                <w:cantSplit/>
              </w:trPr>
              <w:tc>
                <w:tcPr>
                  <w:tcW w:type="dxa" w:w="2800"/>
                  <w:tcMar>
                    <w:top w:type="dxa" w:w="100"/>
                    <w:left w:type="dxa" w:w="120"/>
                    <w:bottom w:type="dxa" w:w="100"/>
                    <w:right w:type="dxa" w:w="120"/>
                  </w:tcMar>
                  <w:vAlign w:val="center"/>
                </w:tcPr>
                <w:p>
                  <w:r>
                    <w:rPr>
                      <w:b w:val="false"/>
                      <w:bCs w:val="false"/>
                      <w:color w:val="1F2937"/>
                      <w:sz w:val="19"/>
                      <w:szCs w:val="19"/>
                    </w:rPr>
                    <w:t xml:space="preserve">Wijzigingen via gebeurtenissen</w:t>
                  </w:r>
                </w:p>
              </w:tc>
              <w:tc>
                <w:tcPr>
                  <w:tcW w:type="dxa" w:w="6338"/>
                  <w:tcMar>
                    <w:top w:type="dxa" w:w="100"/>
                    <w:left w:type="dxa" w:w="120"/>
                    <w:bottom w:type="dxa" w:w="100"/>
                    <w:right w:type="dxa" w:w="120"/>
                  </w:tcMar>
                  <w:vAlign w:val="center"/>
                </w:tcPr>
                <w:p>
                  <w:r>
                    <w:rPr>
                      <w:b w:val="false"/>
                      <w:bCs w:val="false"/>
                      <w:color w:val="1F2937"/>
                      <w:sz w:val="19"/>
                      <w:szCs w:val="19"/>
                    </w:rPr>
                    <w:t xml:space="preserve">Bouwstraatcontrole op transacties die meer dan één moduleschema raken</w:t>
                  </w:r>
                </w:p>
              </w:tc>
            </w:tr>
          </w:tbl>
          <w:p>
            <w:pPr>
              <w:spacing w:after="100"/>
            </w:pPr>
          </w:p>
          <w:p>
            <w:pPr>
              <w:spacing w:after="120" w:line="276"/>
            </w:pPr>
            <w:r>
              <w:rPr>
                <w:b/>
                <w:bCs/>
                <w:color w:val="1F2937"/>
                <w:sz w:val="21"/>
                <w:szCs w:val="21"/>
              </w:rPr>
              <w:t xml:space="preserve">d)</w:t>
            </w:r>
            <w:r>
              <w:rPr>
                <w:color w:val="1F2937"/>
                <w:sz w:val="21"/>
                <w:szCs w:val="21"/>
              </w:rPr>
              <w:t xml:space="preserve"> De meest voorkomende plek is mutatie afgerond die de deelnemersstatus bijwerkt. Oplossing: gebeurtenis, niet grensverlegging. Groepen die de grens verleggen (deelnemer en mutatie samen), bouwen sprint 5 opnieuw.</w:t>
            </w:r>
          </w:p>
          <w:p>
            <w:pPr>
              <w:spacing w:after="120" w:line="276"/>
            </w:pPr>
            <w:r>
              <w:rPr>
                <w:b/>
                <w:bCs/>
                <w:color w:val="1F2937"/>
                <w:sz w:val="21"/>
                <w:szCs w:val="21"/>
              </w:rPr>
              <w:t xml:space="preserve">e) De zwakste plek.</w:t>
            </w:r>
            <w:r>
              <w:rPr>
                <w:color w:val="1F2937"/>
                <w:sz w:val="21"/>
                <w:szCs w:val="21"/>
              </w:rPr>
              <w:t xml:space="preserve"> De aggregaatafbakening is een betekeniskwestie en dus niet machinaal toetsbaar — net als het datumconcept in niveau 1.</w:t>
            </w:r>
          </w:p>
          <w:p>
            <w:pPr>
              <w:spacing w:after="120" w:line="276"/>
            </w:pPr>
            <w:r>
              <w:rPr>
                <w:color w:val="1F2937"/>
                <w:sz w:val="21"/>
                <w:szCs w:val="21"/>
              </w:rPr>
              <w:t xml:space="preserve">Verdedigbare mechanismen, oplopend in kracht: een vast reviewpunt bij elke nieuwe module ("welke regels moeten hier onmiddellijk kloppen?"); een ADR per nieuw aggregaat met die vraag als verplicht onderdeel; en het gremium dat de vraag stelt voordat de bouw begint in plaats van erna.</w:t>
            </w:r>
          </w:p>
          <w:p>
            <w:pPr>
              <w:spacing w:after="120" w:line="276"/>
            </w:pPr>
            <w:r>
              <w:rPr>
                <w:color w:val="1F2937"/>
                <w:sz w:val="21"/>
                <w:szCs w:val="21"/>
              </w:rPr>
              <w:t xml:space="preserve">Het middelste is het praktischst: de vraag wordt gesteld op het moment dat hij goedkoop te beantwoorden is, en het antwoord wordt vindbaar vastgelegd voor het team dat over twee jaar de achtste mutatiesoort bouwt.</w:t>
            </w:r>
          </w:p>
          <w:p>
            <w:pPr>
              <w:spacing w:after="120" w:line="276"/>
            </w:pPr>
            <w:r>
              <w:rPr>
                <w:color w:val="1F2937"/>
                <w:sz w:val="21"/>
                <w:szCs w:val="21"/>
              </w:rPr>
              <w:t xml:space="preserve">Antwoorden in de vorm "we leggen het uit in de onboarding" zijn laag 3 uit deel 9 en dus geen borging.</w:t>
            </w:r>
          </w:p>
        </w:tc>
      </w:tr>
    </w:tbl>
    <w:p>
      <w:pPr>
        <w:spacing w:after="300"/>
      </w:pPr>
    </w:p>
    <w:p>
      <w:pPr>
        <w:pStyle w:val="Heading1"/>
        <w:pBdr>
          <w:bottom w:val="single" w:color="E5E7EB" w:sz="6" w:space="6"/>
        </w:pBdr>
        <w:spacing w:after="180" w:before="380"/>
      </w:pPr>
      <w:r>
        <w:rPr>
          <w:b/>
          <w:bCs/>
          <w:color w:val="1F3A5F"/>
          <w:sz w:val="30"/>
          <w:szCs w:val="30"/>
        </w:rPr>
        <w:t xml:space="preserve">Opdracht 12.6 — Bloedarmoedig of niet? (individueel, 15 minuten)</w:t>
      </w:r>
    </w:p>
    <w:p>
      <w:pPr>
        <w:spacing w:after="160" w:line="276"/>
      </w:pPr>
      <w:r>
        <w:rPr>
          <w:color w:val="1F2937"/>
          <w:sz w:val="22"/>
          <w:szCs w:val="22"/>
        </w:rPr>
        <w:t xml:space="preserve">Beoordeel per geval of een bloedarmoedig model hier een probleem is. Antwoord met probleem, geen probleem of hangt af van en motiveer in één zin.</w:t>
      </w:r>
    </w:p>
    <w:p>
      <w:pPr>
        <w:pStyle w:val="ListParagraph"/>
        <w:numPr>
          <w:ilvl w:val="0"/>
          <w:numId w:val="4"/>
        </w:numPr>
        <w:spacing w:after="120"/>
      </w:pPr>
      <w:r>
        <w:rPr>
          <w:color w:val="1F2937"/>
          <w:sz w:val="22"/>
          <w:szCs w:val="22"/>
        </w:rPr>
        <w:t xml:space="preserve">De Mutatie met alleen velden, en een MutatieService die goedkeurt, valideert en statusovergangen doet.</w:t>
      </w:r>
    </w:p>
    <w:p>
      <w:pPr>
        <w:pStyle w:val="ListParagraph"/>
        <w:numPr>
          <w:ilvl w:val="0"/>
          <w:numId w:val="4"/>
        </w:numPr>
        <w:spacing w:after="120"/>
      </w:pPr>
      <w:r>
        <w:rPr>
          <w:color w:val="1F2937"/>
          <w:sz w:val="22"/>
          <w:szCs w:val="22"/>
        </w:rPr>
        <w:t xml:space="preserve">Het leesmodel voor het behandelaarsscherm.</w:t>
      </w:r>
    </w:p>
    <w:p>
      <w:pPr>
        <w:pStyle w:val="ListParagraph"/>
        <w:numPr>
          <w:ilvl w:val="0"/>
          <w:numId w:val="4"/>
        </w:numPr>
        <w:spacing w:after="120"/>
      </w:pPr>
      <w:r>
        <w:rPr>
          <w:color w:val="1F2937"/>
          <w:sz w:val="22"/>
          <w:szCs w:val="22"/>
        </w:rPr>
        <w:t xml:space="preserve">Het correspondentiesjabloon met een SjabloonService die vult en verzendt.</w:t>
      </w:r>
    </w:p>
    <w:p>
      <w:pPr>
        <w:pStyle w:val="ListParagraph"/>
        <w:numPr>
          <w:ilvl w:val="0"/>
          <w:numId w:val="4"/>
        </w:numPr>
        <w:spacing w:after="120"/>
      </w:pPr>
      <w:r>
        <w:rPr>
          <w:color w:val="1F2937"/>
          <w:sz w:val="22"/>
          <w:szCs w:val="22"/>
        </w:rPr>
        <w:t xml:space="preserve">De Vereveningsberekening als gegevensobject, met de rekenregels in een service.</w:t>
      </w:r>
    </w:p>
    <w:p>
      <w:pPr>
        <w:pStyle w:val="ListParagraph"/>
        <w:numPr>
          <w:ilvl w:val="0"/>
          <w:numId w:val="4"/>
        </w:numPr>
        <w:spacing w:after="120"/>
      </w:pPr>
      <w:r>
        <w:rPr>
          <w:color w:val="1F2937"/>
          <w:sz w:val="22"/>
          <w:szCs w:val="22"/>
        </w:rPr>
        <w:t xml:space="preserve">Het gegevensobject waarin een werkgeversbatchregel wordt ingelezen voordat hij wordt gevalideerd.</w:t>
      </w:r>
    </w:p>
    <w:p>
      <w:pPr>
        <w:pStyle w:val="ListParagraph"/>
        <w:numPr>
          <w:ilvl w:val="0"/>
          <w:numId w:val="4"/>
        </w:numPr>
        <w:spacing w:after="120"/>
      </w:pPr>
      <w:r>
        <w:rPr>
          <w:color w:val="1F2937"/>
          <w:sz w:val="22"/>
          <w:szCs w:val="22"/>
        </w:rPr>
        <w:t xml:space="preserve">De Deelnemer met alleen velden, waarbij de regel "een deelnemer met status overleden krijgt geen mutaties meer" in drie verschillende services staat.</w:t>
      </w:r>
    </w:p>
    <w:p>
      <w:pPr>
        <w:spacing w:after="160" w:line="276"/>
      </w:pPr>
      <w:r>
        <w:rPr>
          <w:color w:val="1F2937"/>
          <w:sz w:val="22"/>
          <w:szCs w:val="22"/>
        </w:rPr>
        <w:t xml:space="preserve">Geval 4 en 6 zijn de interessantste. Bij 6: wat is precies het probleem, en hoe merkt u het pas?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12.6</w:t>
            </w:r>
          </w:p>
          <w:p>
            <w:pPr>
              <w:spacing w:after="80"/>
            </w:pPr>
          </w:p>
          <w:p>
            <w:pPr>
              <w:pStyle w:val="ListParagraph"/>
              <w:numPr>
                <w:ilvl w:val="0"/>
                <w:numId w:val="5"/>
              </w:numPr>
              <w:spacing w:after="120"/>
            </w:pPr>
            <w:r>
              <w:rPr>
                <w:b/>
                <w:bCs/>
                <w:color w:val="1F2937"/>
                <w:sz w:val="22"/>
                <w:szCs w:val="22"/>
              </w:rPr>
              <w:t xml:space="preserve">1. Probleem.</w:t>
            </w:r>
            <w:r>
              <w:rPr>
                <w:color w:val="1F2937"/>
                <w:sz w:val="22"/>
                <w:szCs w:val="22"/>
              </w:rPr>
              <w:t xml:space="preserve"> Dit is het kernsubdomein; de invarianten (functiescheiding, bijlagencontrole, statusstroom) zitten dan in een service en zijn te omzeilen door een tweede service.</w:t>
            </w:r>
          </w:p>
          <w:p>
            <w:pPr>
              <w:pStyle w:val="ListParagraph"/>
              <w:numPr>
                <w:ilvl w:val="0"/>
                <w:numId w:val="5"/>
              </w:numPr>
              <w:spacing w:after="120"/>
            </w:pPr>
            <w:r>
              <w:rPr>
                <w:b/>
                <w:bCs/>
                <w:color w:val="1F2937"/>
                <w:sz w:val="22"/>
                <w:szCs w:val="22"/>
              </w:rPr>
              <w:t xml:space="preserve">2. Geen probleem.</w:t>
            </w:r>
            <w:r>
              <w:rPr>
                <w:color w:val="1F2937"/>
                <w:sz w:val="22"/>
                <w:szCs w:val="22"/>
              </w:rPr>
              <w:t xml:space="preserve"> Een leesmodel hoort bloedarmoedig te zijn; het bewaakt niets.</w:t>
            </w:r>
          </w:p>
          <w:p>
            <w:pPr>
              <w:pStyle w:val="ListParagraph"/>
              <w:numPr>
                <w:ilvl w:val="0"/>
                <w:numId w:val="5"/>
              </w:numPr>
              <w:spacing w:after="120"/>
            </w:pPr>
            <w:r>
              <w:rPr>
                <w:b/>
                <w:bCs/>
                <w:color w:val="1F2937"/>
                <w:sz w:val="22"/>
                <w:szCs w:val="22"/>
              </w:rPr>
              <w:t xml:space="preserve">3. Geen probleem.</w:t>
            </w:r>
            <w:r>
              <w:rPr>
                <w:color w:val="1F2937"/>
                <w:sz w:val="22"/>
                <w:szCs w:val="22"/>
              </w:rPr>
              <w:t xml:space="preserve"> Ondersteunend subdomein, nauwelijks invarianten.</w:t>
            </w:r>
          </w:p>
          <w:p>
            <w:pPr>
              <w:pStyle w:val="ListParagraph"/>
              <w:numPr>
                <w:ilvl w:val="0"/>
                <w:numId w:val="5"/>
              </w:numPr>
              <w:spacing w:after="120"/>
            </w:pPr>
            <w:r>
              <w:rPr>
                <w:b/>
                <w:bCs/>
                <w:color w:val="1F2937"/>
                <w:sz w:val="22"/>
                <w:szCs w:val="22"/>
              </w:rPr>
              <w:t xml:space="preserve">4. Hangt af van.</w:t>
            </w:r>
            <w:r>
              <w:rPr>
                <w:color w:val="1F2937"/>
                <w:sz w:val="22"/>
                <w:szCs w:val="22"/>
              </w:rPr>
              <w:t xml:space="preserve"> Als de uitkomst een waardeobject is dat zijn eigen geldigheid draagt (percentages tellen op tot 100, bedragen zijn niet negatief), is de berekening in een domeinservice prima — dat is de juiste plek voor logica die twee deelnemers en werkgeversparameters combineert. Wordt de uitkomst een leeg gegevensobject waarvan de geldigheid nergens wordt bewaakt, dan is het wel een probleem.</w:t>
            </w:r>
          </w:p>
          <w:p>
            <w:pPr>
              <w:pStyle w:val="ListParagraph"/>
              <w:numPr>
                <w:ilvl w:val="0"/>
                <w:numId w:val="5"/>
              </w:numPr>
              <w:spacing w:after="120"/>
            </w:pPr>
            <w:r>
              <w:rPr>
                <w:b/>
                <w:bCs/>
                <w:color w:val="1F2937"/>
                <w:sz w:val="22"/>
                <w:szCs w:val="22"/>
              </w:rPr>
              <w:t xml:space="preserve">5. Geen probleem.</w:t>
            </w:r>
            <w:r>
              <w:rPr>
                <w:color w:val="1F2937"/>
                <w:sz w:val="22"/>
                <w:szCs w:val="22"/>
              </w:rPr>
              <w:t xml:space="preserve"> Een inleesobject aan de rand is per definitie een gegevensdrager; de validatie hoort daarna in het domein.</w:t>
            </w:r>
          </w:p>
          <w:p>
            <w:pPr>
              <w:pStyle w:val="ListParagraph"/>
              <w:numPr>
                <w:ilvl w:val="0"/>
                <w:numId w:val="5"/>
              </w:numPr>
              <w:spacing w:after="120"/>
            </w:pPr>
            <w:r>
              <w:rPr>
                <w:b/>
                <w:bCs/>
                <w:color w:val="1F2937"/>
                <w:sz w:val="22"/>
                <w:szCs w:val="22"/>
              </w:rPr>
              <w:t xml:space="preserve">6. Probleem, en het interessantste geval.</w:t>
            </w:r>
            <w:r>
              <w:rPr>
                <w:color w:val="1F2937"/>
                <w:sz w:val="22"/>
                <w:szCs w:val="22"/>
              </w:rPr>
              <w:t xml:space="preserve"> De regel staat op drie plaatsen, dus zij zal uiteenlopen — dat is de adresvalidatiefout uit deel 3 van niveau 1, in andere vorm.</w:t>
            </w:r>
          </w:p>
          <w:p>
            <w:pPr>
              <w:spacing w:after="100"/>
            </w:pPr>
          </w:p>
          <w:p>
            <w:pPr>
              <w:spacing w:after="120" w:line="276"/>
            </w:pPr>
            <w:r>
              <w:rPr>
                <w:b/>
                <w:bCs/>
                <w:color w:val="1F2937"/>
                <w:sz w:val="21"/>
                <w:szCs w:val="21"/>
              </w:rPr>
              <w:t xml:space="preserve">Hoe u het merkt: </w:t>
            </w:r>
            <w:r>
              <w:rPr>
                <w:color w:val="1F2937"/>
                <w:sz w:val="21"/>
                <w:szCs w:val="21"/>
              </w:rPr>
              <w:t xml:space="preserve">niet meteen. U merkt het wanneer een vierde plek wordt toegevoegd waar de regel wordt vergeten, en de fout die daaruit volgt is een mutatie op een overleden deelnemer — die pas opvalt bij een uitkeringscontrole of bij een klacht van nabestaanden.</w:t>
            </w:r>
          </w:p>
          <w:p>
            <w:pPr>
              <w:spacing w:after="120" w:line="276"/>
            </w:pPr>
            <w:r>
              <w:rPr>
                <w:b/>
                <w:bCs/>
                <w:color w:val="1F2937"/>
                <w:sz w:val="21"/>
                <w:szCs w:val="21"/>
              </w:rPr>
              <w:t xml:space="preserve">Dat is het patroon van dit soort fouten: </w:t>
            </w:r>
            <w:r>
              <w:rPr>
                <w:color w:val="1F2937"/>
                <w:sz w:val="21"/>
                <w:szCs w:val="21"/>
              </w:rPr>
              <w:t xml:space="preserve">zij manifesteren zich niet als storing maar als een verkeerd administratief resultaat, maanden later, bij een persoon in een kwetsbare situatie.</w:t>
            </w:r>
          </w:p>
        </w:tc>
      </w:tr>
    </w:tbl>
    <w:p>
      <w:pPr>
        <w:spacing w:after="300"/>
      </w:pPr>
    </w:p>
    <w:p>
      <w:pPr>
        <w:pStyle w:val="Heading1"/>
        <w:pBdr>
          <w:bottom w:val="single" w:color="E5E7EB" w:sz="6" w:space="6"/>
        </w:pBdr>
        <w:spacing w:after="180" w:before="380"/>
      </w:pPr>
      <w:r>
        <w:rPr>
          <w:b/>
          <w:bCs/>
          <w:color w:val="1F3A5F"/>
          <w:sz w:val="30"/>
          <w:szCs w:val="30"/>
        </w:rPr>
        <w:t xml:space="preserve">Opdracht 12.7 — Uw eigen systeem (individueel huiswerk, 45 minuten)</w:t>
      </w:r>
    </w:p>
    <w:p>
      <w:pPr>
        <w:pStyle w:val="ListParagraph"/>
        <w:numPr>
          <w:ilvl w:val="0"/>
          <w:numId w:val="2"/>
        </w:numPr>
        <w:spacing w:after="100"/>
      </w:pPr>
      <w:r>
        <w:rPr>
          <w:b/>
          <w:bCs/>
          <w:color w:val="1F2937"/>
          <w:sz w:val="22"/>
          <w:szCs w:val="22"/>
        </w:rPr>
        <w:t xml:space="preserve">a)</w:t>
      </w:r>
      <w:r>
        <w:rPr>
          <w:color w:val="1F2937"/>
          <w:sz w:val="22"/>
          <w:szCs w:val="22"/>
        </w:rPr>
        <w:t xml:space="preserve"> Neem een handeling uit uw eigen systeem die veel tabellen raakt. Hoeveel zijn het er, en welke horen werkelijk in dezelfde consistentiegrens?</w:t>
      </w:r>
    </w:p>
    <w:p>
      <w:pPr>
        <w:pStyle w:val="ListParagraph"/>
        <w:numPr>
          <w:ilvl w:val="0"/>
          <w:numId w:val="2"/>
        </w:numPr>
        <w:spacing w:after="100"/>
      </w:pPr>
      <w:r>
        <w:rPr>
          <w:b/>
          <w:bCs/>
          <w:color w:val="1F2937"/>
          <w:sz w:val="22"/>
          <w:szCs w:val="22"/>
        </w:rPr>
        <w:t xml:space="preserve">b)</w:t>
      </w:r>
      <w:r>
        <w:rPr>
          <w:color w:val="1F2937"/>
          <w:sz w:val="22"/>
          <w:szCs w:val="22"/>
        </w:rPr>
        <w:t xml:space="preserve"> Zoek één regel in uw systeem die op meerdere plaatsen is geïmplementeerd. Waar zou hij horen als u aggregaten zou hanteren?</w:t>
      </w:r>
    </w:p>
    <w:p>
      <w:pPr>
        <w:pStyle w:val="ListParagraph"/>
        <w:numPr>
          <w:ilvl w:val="0"/>
          <w:numId w:val="2"/>
        </w:numPr>
        <w:spacing w:after="100"/>
      </w:pPr>
      <w:r>
        <w:rPr>
          <w:b/>
          <w:bCs/>
          <w:color w:val="1F2937"/>
          <w:sz w:val="22"/>
          <w:szCs w:val="22"/>
        </w:rPr>
        <w:t xml:space="preserve">c)</w:t>
      </w:r>
      <w:r>
        <w:rPr>
          <w:color w:val="1F2937"/>
          <w:sz w:val="22"/>
          <w:szCs w:val="22"/>
        </w:rPr>
        <w:t xml:space="preserve"> Heeft uw systeem waardeobjecten, of zijn alle domeinbegrippen entiteiten met een identificatie? Noem drie kandidaten voor waardeobject.</w:t>
      </w:r>
    </w:p>
    <w:p>
      <w:pPr>
        <w:pStyle w:val="ListParagraph"/>
        <w:numPr>
          <w:ilvl w:val="0"/>
          <w:numId w:val="2"/>
        </w:numPr>
        <w:spacing w:after="100"/>
      </w:pPr>
      <w:r>
        <w:rPr>
          <w:b/>
          <w:bCs/>
          <w:color w:val="1F2937"/>
          <w:sz w:val="22"/>
          <w:szCs w:val="22"/>
        </w:rPr>
        <w:t xml:space="preserve">d)</w:t>
      </w:r>
      <w:r>
        <w:rPr>
          <w:color w:val="1F2937"/>
          <w:sz w:val="22"/>
          <w:szCs w:val="22"/>
        </w:rPr>
        <w:t xml:space="preserve"> Van die drie: welke draagt regels die nu in aanroepende code staan? Wat zou u winnen door hem als eigen type te maken?</w:t>
      </w:r>
    </w:p>
    <w:p>
      <w:pPr>
        <w:pStyle w:val="ListParagraph"/>
        <w:numPr>
          <w:ilvl w:val="0"/>
          <w:numId w:val="2"/>
        </w:numPr>
        <w:spacing w:after="100"/>
      </w:pPr>
      <w:r>
        <w:rPr>
          <w:b/>
          <w:bCs/>
          <w:color w:val="1F2937"/>
          <w:sz w:val="22"/>
          <w:szCs w:val="22"/>
        </w:rPr>
        <w:t xml:space="preserve">e)</w:t>
      </w:r>
      <w:r>
        <w:rPr>
          <w:color w:val="1F2937"/>
          <w:sz w:val="22"/>
          <w:szCs w:val="22"/>
        </w:rPr>
        <w:t xml:space="preserve"> Beantwoord: is er in uw systeem een XService die de logica bevat van een X die zelf leeg is? Is dat hier een probleem?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12.7</w:t>
            </w:r>
          </w:p>
          <w:p>
            <w:pPr>
              <w:spacing w:after="80"/>
            </w:pPr>
          </w:p>
          <w:p>
            <w:pPr>
              <w:spacing w:after="120" w:line="276"/>
            </w:pPr>
            <w:r>
              <w:rPr>
                <w:color w:val="1F2937"/>
                <w:sz w:val="21"/>
                <w:szCs w:val="21"/>
              </w:rPr>
              <w:t xml:space="preserve">Individueel. Twee observaties:</w:t>
            </w:r>
          </w:p>
          <w:p>
            <w:pPr>
              <w:spacing w:after="120" w:line="276"/>
            </w:pPr>
            <w:r>
              <w:rPr>
                <w:color w:val="1F2937"/>
                <w:sz w:val="21"/>
                <w:szCs w:val="21"/>
              </w:rPr>
              <w:t xml:space="preserve">Bij a) is het gebruikelijke antwoord tussen de zes en de twintig tabellen, waarvan er drie tot vijf werkelijk in dezelfde consistentiegrens horen. De rest is afgeleide gegevens, audit, of gegevens van een ander domeingebied.</w:t>
            </w:r>
          </w:p>
          <w:p>
            <w:pPr>
              <w:spacing w:after="120" w:line="276"/>
            </w:pPr>
            <w:r>
              <w:rPr>
                <w:color w:val="1F2937"/>
                <w:sz w:val="21"/>
                <w:szCs w:val="21"/>
              </w:rPr>
              <w:t xml:space="preserve">Bij c) is het antwoord in de meeste systemen dat vrijwel alles een entiteit is met een identificatie, ook waar dat niets toevoegt. De drie kandidaten voor waardeobject die het vaakst worden genoemd — en het vaakst winst opleveren — zijn geldbedragen met valuta, perioden met begin en einde, en gestructureerde identificaties met een controlegetal.</w:t>
            </w:r>
          </w:p>
        </w:tc>
      </w:tr>
    </w:tbl>
    <w:p>
      <w:pPr>
        <w:pBdr>
          <w:top w:val="single" w:color="E5E7EB" w:sz="4" w:space="8"/>
        </w:pBdr>
        <w:spacing w:before="400"/>
        <w:jc w:val="center"/>
      </w:pPr>
      <w:r>
        <w:rPr>
          <w:i/>
          <w:iCs/>
          <w:color w:val="6B7280"/>
          <w:sz w:val="17"/>
          <w:szCs w:val="17"/>
        </w:rPr>
        <w:t xml:space="preserve">Ductus B.V. · Cursus Softwarearchitectuur · Niveau 2, deel 12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12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2026-08-17T14:49:19.475Z</dcterms:created>
  <dcterms:modified xsi:type="dcterms:W3CDTF">2026-08-17T14:49:19.481Z</dcterms:modified>
</cp:coreProperties>
</file>

<file path=docProps/custom.xml><?xml version="1.0" encoding="utf-8"?>
<Properties xmlns="http://schemas.openxmlformats.org/officeDocument/2006/custom-properties" xmlns:vt="http://schemas.openxmlformats.org/officeDocument/2006/docPropsVTypes"/>
</file>