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13 — Microservicesarchitectuur</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13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is de terugkeer van het onderwerp uit deel 5 van niveau 1, en het is bewust anders opgezet. In niveau 1 was de conclusie "niet splitsen"; hier verandert de situatie en wordt de vraag opnieuw gesteld.</w:t>
      </w:r>
    </w:p>
    <w:p>
      <w:pPr>
        <w:spacing w:after="160" w:line="276"/>
      </w:pPr>
      <w:r>
        <w:rPr>
          <w:b/>
          <w:bCs/>
          <w:color w:val="1F2937"/>
          <w:sz w:val="22"/>
          <w:szCs w:val="22"/>
        </w:rPr>
        <w:t xml:space="preserve">Dat is de didactische kern: een architectuurbeslissing is geen eenmalig oordeel maar een beslissing met een houdbaarheidsdatum.</w:t>
      </w:r>
      <w:r>
        <w:rPr>
          <w:color w:val="1F2937"/>
          <w:sz w:val="22"/>
          <w:szCs w:val="22"/>
        </w:rPr>
        <w:t xml:space="preserve"> Deelnemers die in niveau 1 hebben geleerd dat microservices bij twee teams onverstandig zijn, moeten hier leren dat dat oordeel bij de eerste verandering opnieuw getoetst wordt — en dat de herzieningsgrens uit hun ADR daarvoor het instrument is.</w:t>
      </w:r>
    </w:p>
    <w:p>
      <w:pPr>
        <w:spacing w:after="160" w:line="276"/>
      </w:pPr>
      <w:r>
        <w:rPr>
          <w:b/>
          <w:bCs/>
          <w:color w:val="1F2937"/>
          <w:sz w:val="22"/>
          <w:szCs w:val="22"/>
        </w:rPr>
        <w:t xml:space="preserve">Het tweede punt is de nuance in de uitkomst.</w:t>
      </w:r>
      <w:r>
        <w:rPr>
          <w:color w:val="1F2937"/>
          <w:sz w:val="22"/>
          <w:szCs w:val="22"/>
        </w:rPr>
        <w:t xml:space="preserve"> De situatie verandert, maar het antwoord is niet "nu wel splitsen" — het is "één splitsing, op grond van één drijver, en de rest blijft". Groepen die na de overname enthousiast naar microservices willen, hebben de les van niveau 1 niet meegenomen; groepen die weigeren te splitsen omdat ze in niveau 1 "geleerd hebben dat het niet moet", hebben hem verkeerd meegenomen.</w:t>
      </w:r>
    </w:p>
    <w:p>
      <w:pPr>
        <w:spacing w:after="160" w:line="276"/>
      </w:pPr>
      <w:r>
        <w:rPr>
          <w:b/>
          <w:bCs/>
          <w:color w:val="1F2937"/>
          <w:sz w:val="22"/>
          <w:szCs w:val="22"/>
        </w:rPr>
        <w:t xml:space="preserve">Waarschuwing over de sfeer.</w:t>
      </w:r>
      <w:r>
        <w:rPr>
          <w:color w:val="1F2937"/>
          <w:sz w:val="22"/>
          <w:szCs w:val="22"/>
        </w:rPr>
        <w:t xml:space="preserve"> Dit deel kan gemakkelijk vervallen in een herhaling van de microservicesdiscussie uit niveau 1. Voorkom dat door het gesprek strak op de drijverstoets en op de gegevens uit de bijlagen te houden. De uitrolstatistiek in bijlage AJ is daarvoor uw belangrijkste hulpmiddel: zij vervangt een mening door een getal.</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0:00–0:15</w:t>
            </w:r>
          </w:p>
        </w:tc>
        <w:tc>
          <w:tcPr>
            <w:tcW w:type="dxa" w:w="4300"/>
            <w:tcMar>
              <w:top w:type="dxa" w:w="100"/>
              <w:left w:type="dxa" w:w="120"/>
              <w:bottom w:type="dxa" w:w="100"/>
              <w:right w:type="dxa" w:w="120"/>
            </w:tcMar>
            <w:vAlign w:val="center"/>
          </w:tcPr>
          <w:p>
            <w:r>
              <w:rPr>
                <w:b w:val="false"/>
                <w:bCs w:val="false"/>
                <w:color w:val="1F2937"/>
                <w:sz w:val="19"/>
                <w:szCs w:val="19"/>
              </w:rPr>
              <w:t xml:space="preserve">Sprint 9: de overname; de herzieningsgrens erbij</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0:15–0:35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13.1 — de herzieningsgrens toetsen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0:35–0:50</w:t>
            </w:r>
          </w:p>
        </w:tc>
        <w:tc>
          <w:tcPr>
            <w:tcW w:type="dxa" w:w="4300"/>
            <w:tcMar>
              <w:top w:type="dxa" w:w="100"/>
              <w:left w:type="dxa" w:w="120"/>
              <w:bottom w:type="dxa" w:w="100"/>
              <w:right w:type="dxa" w:w="120"/>
            </w:tcMar>
            <w:vAlign w:val="center"/>
          </w:tcPr>
          <w:p>
            <w:r>
              <w:rPr>
                <w:b w:val="false"/>
                <w:bCs w:val="false"/>
                <w:color w:val="1F2937"/>
                <w:sz w:val="19"/>
                <w:szCs w:val="19"/>
              </w:rPr>
              <w:t xml:space="preserve">Het spectrum; service-based als middenpositie</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7–9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0:50–1:00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1:00–1:20</w:t>
            </w:r>
          </w:p>
        </w:tc>
        <w:tc>
          <w:tcPr>
            <w:tcW w:type="dxa" w:w="4300"/>
            <w:tcMar>
              <w:top w:type="dxa" w:w="100"/>
              <w:left w:type="dxa" w:w="120"/>
              <w:bottom w:type="dxa" w:w="100"/>
              <w:right w:type="dxa" w:w="120"/>
            </w:tcMar>
            <w:vAlign w:val="center"/>
          </w:tcPr>
          <w:p>
            <w:r>
              <w:rPr>
                <w:b w:val="false"/>
                <w:bCs w:val="false"/>
                <w:color w:val="1F2937"/>
                <w:sz w:val="19"/>
                <w:szCs w:val="19"/>
              </w:rPr>
              <w:t xml:space="preserve">De drijvers opnieuw; de vier gevallen apart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10–14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1:20–1:50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13.2 — de vier drijvers toetsen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1:50–2:05</w:t>
            </w:r>
          </w:p>
        </w:tc>
        <w:tc>
          <w:tcPr>
            <w:tcW w:type="dxa" w:w="4300"/>
            <w:tcMar>
              <w:top w:type="dxa" w:w="100"/>
              <w:left w:type="dxa" w:w="120"/>
              <w:bottom w:type="dxa" w:w="100"/>
              <w:right w:type="dxa" w:w="120"/>
            </w:tcMar>
            <w:vAlign w:val="center"/>
          </w:tcPr>
          <w:p>
            <w:r>
              <w:rPr>
                <w:b w:val="false"/>
                <w:bCs w:val="false"/>
                <w:color w:val="1F2937"/>
                <w:sz w:val="19"/>
                <w:szCs w:val="19"/>
              </w:rPr>
              <w:t xml:space="preserve">Waarlangs splitst u? De aggregaatgrens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16–18</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2:05–2:15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2:15–2:35</w:t>
            </w:r>
          </w:p>
        </w:tc>
        <w:tc>
          <w:tcPr>
            <w:tcW w:type="dxa" w:w="4300"/>
            <w:tcMar>
              <w:top w:type="dxa" w:w="100"/>
              <w:left w:type="dxa" w:w="120"/>
              <w:bottom w:type="dxa" w:w="100"/>
              <w:right w:type="dxa" w:w="120"/>
            </w:tcMar>
            <w:vAlign w:val="center"/>
          </w:tcPr>
          <w:p>
            <w:r>
              <w:rPr>
                <w:b w:val="false"/>
                <w:bCs w:val="false"/>
                <w:color w:val="1F2937"/>
                <w:sz w:val="19"/>
                <w:szCs w:val="19"/>
              </w:rPr>
              <w:t xml:space="preserve">Wat een netwerkgrens verandert: saga en outbox</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19–23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2:35–3:05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13.4 — een saga ontwerpen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3:05–3:25</w:t>
            </w:r>
          </w:p>
        </w:tc>
        <w:tc>
          <w:tcPr>
            <w:tcW w:type="dxa" w:w="4300"/>
            <w:tcMar>
              <w:top w:type="dxa" w:w="100"/>
              <w:left w:type="dxa" w:w="120"/>
              <w:bottom w:type="dxa" w:w="100"/>
              <w:right w:type="dxa" w:w="120"/>
            </w:tcMar>
            <w:vAlign w:val="center"/>
          </w:tcPr>
          <w:p>
            <w:r>
              <w:rPr>
                <w:b w:val="false"/>
                <w:bCs w:val="false"/>
                <w:color w:val="1F2937"/>
                <w:sz w:val="19"/>
                <w:szCs w:val="19"/>
              </w:rPr>
              <w:t xml:space="preserve">Koppelvlakversiebeheer</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25–26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3:25–3:45</w:t>
            </w:r>
          </w:p>
        </w:tc>
        <w:tc>
          <w:tcPr>
            <w:tcW w:type="dxa" w:w="4300"/>
            <w:tcMar>
              <w:top w:type="dxa" w:w="100"/>
              <w:left w:type="dxa" w:w="120"/>
              <w:bottom w:type="dxa" w:w="100"/>
              <w:right w:type="dxa" w:w="120"/>
            </w:tcMar>
            <w:vAlign w:val="center"/>
          </w:tcPr>
          <w:p>
            <w:r>
              <w:rPr>
                <w:b w:val="false"/>
                <w:bCs w:val="false"/>
                <w:color w:val="1F2937"/>
                <w:sz w:val="19"/>
                <w:szCs w:val="19"/>
              </w:rPr>
              <w:t xml:space="preserve">Het strangler-traject; wanneer níét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27–29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300"/>
            <w:tcMar>
              <w:top w:type="dxa" w:w="100"/>
              <w:left w:type="dxa" w:w="120"/>
              <w:bottom w:type="dxa" w:w="100"/>
              <w:right w:type="dxa" w:w="120"/>
            </w:tcMar>
            <w:vAlign w:val="center"/>
          </w:tcPr>
          <w:p>
            <w:r>
              <w:rPr>
                <w:b w:val="false"/>
                <w:bCs w:val="false"/>
                <w:color w:val="1F2937"/>
                <w:sz w:val="19"/>
                <w:szCs w:val="19"/>
              </w:rPr>
              <w:t xml:space="preserve">Huiswerk en vooruitblik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30</w:t>
            </w:r>
          </w:p>
        </w:tc>
      </w:tr>
    </w:tbl>
    <w:p>
      <w:pPr>
        <w:spacing w:after="300"/>
      </w:pPr>
    </w:p>
    <w:p>
      <w:pPr>
        <w:spacing w:after="160" w:line="276"/>
      </w:pPr>
      <w:r>
        <w:rPr>
          <w:b/>
          <w:bCs/>
          <w:color w:val="1F2937"/>
          <w:sz w:val="22"/>
          <w:szCs w:val="22"/>
        </w:rPr>
        <w:t xml:space="preserve">Opdracht 13.3 (splitsingsgrens), 13.5 (outbox), 13.6 (versiebeheer) en 13.7 (strangler) staan niet in de planning.</w:t>
      </w:r>
      <w:r>
        <w:rPr>
          <w:color w:val="1F2937"/>
          <w:sz w:val="22"/>
          <w:szCs w:val="22"/>
        </w:rPr>
        <w:t xml:space="preserve"> Dit deel heeft meer materiaal dan er past; kies vooraf.</w:t>
      </w:r>
    </w:p>
    <w:p>
      <w:pPr>
        <w:pStyle w:val="ListParagraph"/>
        <w:numPr>
          <w:ilvl w:val="0"/>
          <w:numId w:val="2"/>
        </w:numPr>
        <w:spacing w:after="100"/>
      </w:pPr>
      <w:r>
        <w:rPr>
          <w:b/>
          <w:bCs/>
          <w:color w:val="1F2937"/>
          <w:sz w:val="22"/>
          <w:szCs w:val="22"/>
        </w:rPr>
        <w:t xml:space="preserve">Bij een groep die al gedistribueerd werkt:</w:t>
      </w:r>
      <w:r>
        <w:rPr>
          <w:color w:val="1F2937"/>
          <w:sz w:val="22"/>
          <w:szCs w:val="22"/>
        </w:rPr>
        <w:t xml:space="preserve"> vervang 13.4 door 13.6 (versiebeheer). Dat is voor hen het meest herkenbare en het minst geregelde onderwerp.</w:t>
      </w:r>
    </w:p>
    <w:p>
      <w:pPr>
        <w:pStyle w:val="ListParagraph"/>
        <w:numPr>
          <w:ilvl w:val="0"/>
          <w:numId w:val="2"/>
        </w:numPr>
        <w:spacing w:after="100"/>
      </w:pPr>
      <w:r>
        <w:rPr>
          <w:b/>
          <w:bCs/>
          <w:color w:val="1F2937"/>
          <w:sz w:val="22"/>
          <w:szCs w:val="22"/>
        </w:rPr>
        <w:t xml:space="preserve">Bij een groep die gaat splitsen:</w:t>
      </w:r>
      <w:r>
        <w:rPr>
          <w:color w:val="1F2937"/>
          <w:sz w:val="22"/>
          <w:szCs w:val="22"/>
        </w:rPr>
        <w:t xml:space="preserve"> doe 13.3 en 13.7 in plaats van 13.4; de saga behandelt u dan plenair.</w:t>
      </w:r>
    </w:p>
    <w:p>
      <w:pPr>
        <w:pStyle w:val="ListParagraph"/>
        <w:numPr>
          <w:ilvl w:val="0"/>
          <w:numId w:val="2"/>
        </w:numPr>
        <w:spacing w:after="100"/>
      </w:pPr>
      <w:r>
        <w:rPr>
          <w:b/>
          <w:bCs/>
          <w:color w:val="1F2937"/>
          <w:sz w:val="22"/>
          <w:szCs w:val="22"/>
        </w:rPr>
        <w:t xml:space="preserve">Bij 4,5 uur:</w:t>
      </w:r>
      <w:r>
        <w:rPr>
          <w:color w:val="1F2937"/>
          <w:sz w:val="22"/>
          <w:szCs w:val="22"/>
        </w:rPr>
        <w:t xml:space="preserve"> voeg 13.7 toe; onderdeel e) (wat als de meting tegenvalt) is de sterkste vraag van het deel.</w:t>
      </w:r>
    </w:p>
    <w:p>
      <w:pPr>
        <w:spacing w:after="160" w:line="276"/>
      </w:pPr>
      <w:r>
        <w:rPr>
          <w:b/>
          <w:bCs/>
          <w:color w:val="1F2937"/>
          <w:sz w:val="22"/>
          <w:szCs w:val="22"/>
        </w:rPr>
        <w:t xml:space="preserve">Wat u nooit inkort: </w:t>
      </w:r>
      <w:r>
        <w:rPr>
          <w:color w:val="1F2937"/>
          <w:sz w:val="22"/>
          <w:szCs w:val="22"/>
        </w:rPr>
        <w:t xml:space="preserve">opdracht 13.2 onderdeel c) — de uitrolstatistiek. Dat is het moment waarop een aanname door een getal wordt vervangen.</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Sprint 9 en de herzieningsgrens (slides 2–6)</w:t>
      </w:r>
    </w:p>
    <w:p>
      <w:pPr>
        <w:spacing w:after="160" w:line="276"/>
      </w:pPr>
      <w:r>
        <w:rPr>
          <w:b/>
          <w:bCs/>
          <w:color w:val="1F2937"/>
          <w:sz w:val="22"/>
          <w:szCs w:val="22"/>
        </w:rPr>
        <w:t xml:space="preserve">Toon slide 3 en laat de groep reageren voordat u slide 4 toont.</w:t>
      </w:r>
      <w:r>
        <w:rPr>
          <w:color w:val="1F2937"/>
          <w:sz w:val="22"/>
          <w:szCs w:val="22"/>
        </w:rPr>
        <w:t xml:space="preserve"> Er komt gegarandeerd "dan moeten we splitsen". Toon dan de herzieningsgrens uit hun eigen ADR en vraag: is die overschreden?</w:t>
      </w:r>
    </w:p>
    <w:p>
      <w:pPr>
        <w:spacing w:after="160" w:line="276"/>
      </w:pPr>
      <w:r>
        <w:rPr>
          <w:color w:val="1F2937"/>
          <w:sz w:val="22"/>
          <w:szCs w:val="22"/>
        </w:rPr>
        <w:t xml:space="preserve">Het effect dat u wilt is dat de groep merkt dat zij zichzelf een instrument heeft gegeven. Slide 5 benoemt dat expliciet.</w:t>
      </w:r>
    </w:p>
    <w:p>
      <w:pPr>
        <w:spacing w:after="160" w:line="276"/>
      </w:pPr>
      <w:r>
        <w:rPr>
          <w:b/>
          <w:bCs/>
          <w:color w:val="1F2937"/>
          <w:sz w:val="22"/>
          <w:szCs w:val="22"/>
        </w:rPr>
        <w:t xml:space="preserve">Opdracht 13.1, plenair vooral d).</w:t>
      </w:r>
      <w:r>
        <w:rPr>
          <w:color w:val="1F2937"/>
          <w:sz w:val="22"/>
          <w:szCs w:val="22"/>
        </w:rPr>
        <w:t xml:space="preserve"> Laat twee deelnemers beschrijven hoe het gesprek zonder herzieningsgrens zou lopen. De antwoorden zijn herkenbaar en vaak grappig: het gesprek gaat dan over posities in plaats van over feiten, en de uitkomst hangt af van wie het hoogst in de organisatie zit.</w:t>
      </w:r>
    </w:p>
    <w:p>
      <w:pPr>
        <w:spacing w:after="160" w:line="276"/>
      </w:pPr>
      <w:r>
        <w:rPr>
          <w:b/>
          <w:bCs/>
          <w:color w:val="1F2937"/>
          <w:sz w:val="22"/>
          <w:szCs w:val="22"/>
        </w:rPr>
        <w:t xml:space="preserve">Het inzicht dat u niet mag missen</w:t>
      </w:r>
      <w:r>
        <w:rPr>
          <w:color w:val="1F2937"/>
          <w:sz w:val="22"/>
          <w:szCs w:val="22"/>
        </w:rPr>
        <w:t xml:space="preserve"> staat in de uitwerking bij b): het geval dat zich voordoet — een module met een lagere beschikbaarheidseis die die van de rest bedreigt — stond niet in de grens. Een herzieningsgrens is zelf herzienbaar. Wie merkt dat de werkelijkheid een geval oplevert dat de grens niet dekt, past de grens aan in plaats van het geval weg te redeneren.</w:t>
      </w:r>
    </w:p>
    <w:p>
      <w:pPr>
        <w:pStyle w:val="Heading2"/>
        <w:spacing w:after="140" w:before="260"/>
      </w:pPr>
      <w:r>
        <w:rPr>
          <w:b/>
          <w:bCs/>
          <w:color w:val="4A6789"/>
          <w:sz w:val="24"/>
          <w:szCs w:val="24"/>
        </w:rPr>
        <w:t xml:space="preserve">3.2 Het spectrum (slides 7–9)</w:t>
      </w:r>
    </w:p>
    <w:p>
      <w:pPr>
        <w:spacing w:after="160" w:line="276"/>
      </w:pPr>
      <w:r>
        <w:rPr>
          <w:color w:val="1F2937"/>
          <w:sz w:val="22"/>
          <w:szCs w:val="22"/>
        </w:rPr>
        <w:t xml:space="preserve">Kort, tien minuten. Slide 9 is het punt en het is dezelfde boodschap als in deel 5: er is geen mode verbonden aan de middenpositie, en dat is de enige reden dat zij ondergewaardeerd is.</w:t>
      </w:r>
    </w:p>
    <w:p>
      <w:pPr>
        <w:pStyle w:val="Heading2"/>
        <w:spacing w:after="140" w:before="260"/>
      </w:pPr>
      <w:r>
        <w:rPr>
          <w:b/>
          <w:bCs/>
          <w:color w:val="4A6789"/>
          <w:sz w:val="24"/>
          <w:szCs w:val="24"/>
        </w:rPr>
        <w:t xml:space="preserve">3.3 De drijverstoets (slides 10–15)</w:t>
      </w:r>
    </w:p>
    <w:p>
      <w:pPr>
        <w:spacing w:after="160" w:line="276"/>
      </w:pPr>
      <w:r>
        <w:rPr>
          <w:b/>
          <w:bCs/>
          <w:color w:val="1F2937"/>
          <w:sz w:val="22"/>
          <w:szCs w:val="22"/>
        </w:rPr>
        <w:t xml:space="preserve">Behandel de vier drijvers apart en met verschillende conclusies</w:t>
      </w:r>
      <w:r>
        <w:rPr>
          <w:color w:val="1F2937"/>
          <w:sz w:val="22"/>
          <w:szCs w:val="22"/>
        </w:rPr>
        <w:t xml:space="preserve"> — dat is precies wat dit deel onderscheidt van een herhaling.</w:t>
      </w:r>
    </w:p>
    <w:p>
      <w:pPr>
        <w:spacing w:after="160" w:line="276"/>
      </w:pPr>
      <w:r>
        <w:rPr>
          <w:b/>
          <w:bCs/>
          <w:color w:val="1F2937"/>
          <w:sz w:val="22"/>
          <w:szCs w:val="22"/>
        </w:rPr>
        <w:t xml:space="preserve">Slide 11 (tijdelijk is geen architectuurargument)</w:t>
      </w:r>
      <w:r>
        <w:rPr>
          <w:color w:val="1F2937"/>
          <w:sz w:val="22"/>
          <w:szCs w:val="22"/>
        </w:rPr>
        <w:t xml:space="preserve"> is de eerste correctie. Vier maanden piek los je op met tranches en capaciteit, niet met een architectuurwijziging.</w:t>
      </w:r>
    </w:p>
    <w:p>
      <w:pPr>
        <w:spacing w:after="160" w:line="276"/>
      </w:pPr>
      <w:r>
        <w:rPr>
          <w:b/>
          <w:bCs/>
          <w:color w:val="1F2937"/>
          <w:sz w:val="22"/>
          <w:szCs w:val="22"/>
        </w:rPr>
        <w:t xml:space="preserve">Slide 12 (dinsdagochtend)</w:t>
      </w:r>
      <w:r>
        <w:rPr>
          <w:color w:val="1F2937"/>
          <w:sz w:val="22"/>
          <w:szCs w:val="22"/>
        </w:rPr>
        <w:t xml:space="preserve"> is het emotionele anker van het dagdeel. Laat het staan: 340.000 deelnemers geraakt door een tijdelijk project. Dat is het enige argument dat niet met capaciteit of planning op te lossen is.</w:t>
      </w:r>
    </w:p>
    <w:p>
      <w:pPr>
        <w:spacing w:after="160" w:line="276"/>
      </w:pPr>
      <w:r>
        <w:rPr>
          <w:b/>
          <w:bCs/>
          <w:color w:val="1F2937"/>
          <w:sz w:val="22"/>
          <w:szCs w:val="22"/>
        </w:rPr>
        <w:t xml:space="preserve">Slide 13 is het belangrijkste inzicht en het minst verwachte.</w:t>
      </w:r>
      <w:r>
        <w:rPr>
          <w:color w:val="1F2937"/>
          <w:sz w:val="22"/>
          <w:szCs w:val="22"/>
        </w:rPr>
        <w:t xml:space="preserve"> De uitrolstatistiek laat zien dat teams elkaar nauwelijks in de weg zitten, en dat drie van de vier vertragingen dezelfde oorzaak hadden — één koppelvlak dat niet klaar was.</w:t>
      </w:r>
    </w:p>
    <w:p>
      <w:pPr>
        <w:spacing w:after="160" w:line="276"/>
      </w:pPr>
      <w:r>
        <w:rPr>
          <w:b/>
          <w:bCs/>
          <w:color w:val="1F2937"/>
          <w:sz w:val="22"/>
          <w:szCs w:val="22"/>
        </w:rPr>
        <w:t xml:space="preserve">Zeg het expliciet: </w:t>
      </w:r>
      <w:r>
        <w:rPr>
          <w:color w:val="1F2937"/>
          <w:sz w:val="22"/>
          <w:szCs w:val="22"/>
        </w:rPr>
        <w:t xml:space="preserve">een teamaantal is geen drijver; wachten op elkaar is dat wel, en dat is meetbaar. Wie op teamaantal splitst zonder te meten, splitst op een aanname. Dit is het soort empirisme dat het verschil maakt tussen een architect en iemand met meningen.</w:t>
      </w:r>
    </w:p>
    <w:p>
      <w:pPr>
        <w:pStyle w:val="Heading2"/>
        <w:spacing w:after="140" w:before="260"/>
      </w:pPr>
      <w:r>
        <w:rPr>
          <w:b/>
          <w:bCs/>
          <w:color w:val="4A6789"/>
          <w:sz w:val="24"/>
          <w:szCs w:val="24"/>
        </w:rPr>
        <w:t xml:space="preserve">3.4 Waarlangs splitsen (slides 16–18)</w:t>
      </w:r>
    </w:p>
    <w:p>
      <w:pPr>
        <w:spacing w:after="160" w:line="276"/>
      </w:pPr>
      <w:r>
        <w:rPr>
          <w:b/>
          <w:bCs/>
          <w:color w:val="1F2937"/>
          <w:sz w:val="22"/>
          <w:szCs w:val="22"/>
        </w:rPr>
        <w:t xml:space="preserve">Slide 18 is een beloningsmoment.</w:t>
      </w:r>
      <w:r>
        <w:rPr>
          <w:color w:val="1F2937"/>
          <w:sz w:val="22"/>
          <w:szCs w:val="22"/>
        </w:rPr>
        <w:t xml:space="preserve"> De grens loopt nergens door een aggregaat, en dat is geen toeval: het is het gevolg van de modulith-opzet uit deel 5 en de aggregaatafbakening uit deel 12. Splitsen is een verhuizing geworden.</w:t>
      </w:r>
    </w:p>
    <w:p>
      <w:pPr>
        <w:spacing w:after="160" w:line="276"/>
      </w:pPr>
      <w:r>
        <w:rPr>
          <w:color w:val="1F2937"/>
          <w:sz w:val="22"/>
          <w:szCs w:val="22"/>
        </w:rPr>
        <w:t xml:space="preserve">Benoem dat als de terugbetaling van een investering die twee delen geleden is gedaan zonder dat de opbrengst toen zichtbaar was. Deelnemers ervaren daar de samenhang van de reeks.</w:t>
      </w:r>
    </w:p>
    <w:p>
      <w:pPr>
        <w:pStyle w:val="Heading2"/>
        <w:spacing w:after="140" w:before="260"/>
      </w:pPr>
      <w:r>
        <w:rPr>
          <w:b/>
          <w:bCs/>
          <w:color w:val="4A6789"/>
          <w:sz w:val="24"/>
          <w:szCs w:val="24"/>
        </w:rPr>
        <w:t xml:space="preserve">3.5 Saga en outbox (slides 19–24)</w:t>
      </w:r>
    </w:p>
    <w:p>
      <w:pPr>
        <w:spacing w:after="160" w:line="276"/>
      </w:pPr>
      <w:r>
        <w:rPr>
          <w:b/>
          <w:bCs/>
          <w:color w:val="1F2937"/>
          <w:sz w:val="22"/>
          <w:szCs w:val="22"/>
        </w:rPr>
        <w:t xml:space="preserve">Slide 21 is de kernzin van dit blok: </w:t>
      </w:r>
      <w:r>
        <w:rPr>
          <w:color w:val="1F2937"/>
          <w:sz w:val="22"/>
          <w:szCs w:val="22"/>
        </w:rPr>
        <w:t xml:space="preserve">een saga verplaatst een technisch probleem naar het domein, en dat maakt hem duur.</w:t>
      </w:r>
    </w:p>
    <w:p>
      <w:pPr>
        <w:spacing w:after="160" w:line="276"/>
      </w:pPr>
      <w:r>
        <w:rPr>
          <w:color w:val="1F2937"/>
          <w:sz w:val="22"/>
          <w:szCs w:val="22"/>
        </w:rPr>
        <w:t xml:space="preserve">Werk het uit met de vraag over het ongedaan maken van een overgenomen pensioenrecht. De drie opties — verwijderen, op nul zetten, tegenboeking — hebben verschillende administratieve betekenis, en alleen de derde houdt de historie kloppend. Dat is geen technische keuze en de architect moet hem niet maken.</w:t>
      </w:r>
    </w:p>
    <w:p>
      <w:pPr>
        <w:spacing w:after="160" w:line="276"/>
      </w:pPr>
      <w:r>
        <w:rPr>
          <w:b/>
          <w:bCs/>
          <w:color w:val="1F2937"/>
          <w:sz w:val="22"/>
          <w:szCs w:val="22"/>
        </w:rPr>
        <w:t xml:space="preserve">Opdracht 13.4, twee interventies:</w:t>
      </w:r>
      <w:r>
        <w:rPr>
          <w:color w:val="1F2937"/>
          <w:sz w:val="22"/>
          <w:szCs w:val="22"/>
        </w:rPr>
        <w:t xml:space="preserve"/>
      </w:r>
    </w:p>
    <w:p>
      <w:pPr>
        <w:pStyle w:val="ListParagraph"/>
        <w:numPr>
          <w:ilvl w:val="0"/>
          <w:numId w:val="3"/>
        </w:numPr>
        <w:spacing w:after="120"/>
      </w:pPr>
      <w:r>
        <w:rPr>
          <w:b/>
          <w:bCs/>
          <w:color w:val="1F2937"/>
          <w:sz w:val="22"/>
          <w:szCs w:val="22"/>
        </w:rPr>
        <w:t xml:space="preserve">Compensaties worden als "terugdraaien" geformuleerd.</w:t>
      </w:r>
      <w:r>
        <w:rPr>
          <w:color w:val="1F2937"/>
          <w:sz w:val="22"/>
          <w:szCs w:val="22"/>
        </w:rPr>
        <w:t xml:space="preserve"> Duw naar administratieve taal: wat gebeurt er in de boeken?</w:t>
      </w:r>
    </w:p>
    <w:p>
      <w:pPr>
        <w:pStyle w:val="ListParagraph"/>
        <w:numPr>
          <w:ilvl w:val="0"/>
          <w:numId w:val="3"/>
        </w:numPr>
        <w:spacing w:after="120"/>
      </w:pPr>
      <w:r>
        <w:rPr>
          <w:b/>
          <w:bCs/>
          <w:color w:val="1F2937"/>
          <w:sz w:val="22"/>
          <w:szCs w:val="22"/>
        </w:rPr>
        <w:t xml:space="preserve">Onderdeel e) wordt overgeslagen.</w:t>
      </w:r>
      <w:r>
        <w:rPr>
          <w:color w:val="1F2937"/>
          <w:sz w:val="22"/>
          <w:szCs w:val="22"/>
        </w:rPr>
        <w:t xml:space="preserve"> Een saga die blijft hangen zonder te falen is de stille stilstand uit deel 6 van niveau 1. Bij 60.000 conversies is een half afgemaakte conversie niet handmatig terug te vinden.</w:t>
      </w:r>
    </w:p>
    <w:p>
      <w:pPr>
        <w:spacing w:after="160" w:line="276"/>
      </w:pPr>
      <w:r>
        <w:rPr>
          <w:b/>
          <w:bCs/>
          <w:color w:val="1F2937"/>
          <w:sz w:val="22"/>
          <w:szCs w:val="22"/>
        </w:rPr>
        <w:t xml:space="preserve">Slide 23 (bezorging versus verwerking)</w:t>
      </w:r>
      <w:r>
        <w:rPr>
          <w:color w:val="1F2937"/>
          <w:sz w:val="22"/>
          <w:szCs w:val="22"/>
        </w:rPr>
        <w:t xml:space="preserve"> is de zin die deelnemers meenemen naar hun werk. Herhaal hem.</w:t>
      </w:r>
    </w:p>
    <w:p>
      <w:pPr>
        <w:pStyle w:val="Heading2"/>
        <w:spacing w:after="140" w:before="260"/>
      </w:pPr>
      <w:r>
        <w:rPr>
          <w:b/>
          <w:bCs/>
          <w:color w:val="4A6789"/>
          <w:sz w:val="24"/>
          <w:szCs w:val="24"/>
        </w:rPr>
        <w:t xml:space="preserve">3.6 Koppelvlakversiebeheer (slides 25–26)</w:t>
      </w:r>
    </w:p>
    <w:p>
      <w:pPr>
        <w:spacing w:after="160" w:line="276"/>
      </w:pPr>
      <w:r>
        <w:rPr>
          <w:b/>
          <w:bCs/>
          <w:color w:val="1F2937"/>
          <w:sz w:val="22"/>
          <w:szCs w:val="22"/>
        </w:rPr>
        <w:t xml:space="preserve">Dit blok wordt onderschat en het is voor deze doelgroep zeer relevant,</w:t>
      </w:r>
      <w:r>
        <w:rPr>
          <w:color w:val="1F2937"/>
          <w:sz w:val="22"/>
          <w:szCs w:val="22"/>
        </w:rPr>
        <w:t xml:space="preserve"> want elf werkgeverssystemen zijn een realistisch beeld van de Nederlandse pensioenketen.</w:t>
      </w:r>
    </w:p>
    <w:p>
      <w:pPr>
        <w:spacing w:after="160" w:line="276"/>
      </w:pPr>
      <w:r>
        <w:rPr>
          <w:b/>
          <w:bCs/>
          <w:color w:val="1F2937"/>
          <w:sz w:val="22"/>
          <w:szCs w:val="22"/>
        </w:rPr>
        <w:t xml:space="preserve">Slide 26 is het punt: </w:t>
      </w:r>
      <w:r>
        <w:rPr>
          <w:color w:val="1F2937"/>
          <w:sz w:val="22"/>
          <w:szCs w:val="22"/>
        </w:rPr>
        <w:t xml:space="preserve">uw migratietermijn wordt bepaald door de traagste afnemer, niet door uw planning. Twee werkgevers die vier jaar niet hebben aangepast, betekenen dat u moet rekenen met afnemers die nooit meebewegen.</w:t>
      </w:r>
    </w:p>
    <w:p>
      <w:pPr>
        <w:spacing w:after="160" w:line="276"/>
      </w:pPr>
      <w:r>
        <w:rPr>
          <w:color w:val="1F2937"/>
          <w:sz w:val="22"/>
          <w:szCs w:val="22"/>
        </w:rPr>
        <w:t xml:space="preserve">Verbind met deel 11: het patroon is open host service met published language, en zodra elf systemen zich hebben geconformeerd, is de machtsverhouding feitelijk omgekeerd. Dat is de prijs van standaardisatie en zij hoort in een ADR.</w:t>
      </w:r>
    </w:p>
    <w:p>
      <w:pPr>
        <w:pStyle w:val="Heading2"/>
        <w:spacing w:after="140" w:before="260"/>
      </w:pPr>
      <w:r>
        <w:rPr>
          <w:b/>
          <w:bCs/>
          <w:color w:val="4A6789"/>
          <w:sz w:val="24"/>
          <w:szCs w:val="24"/>
        </w:rPr>
        <w:t xml:space="preserve">3.7 Strangler en de begrenzing (slides 27–30)</w:t>
      </w:r>
    </w:p>
    <w:p>
      <w:pPr>
        <w:spacing w:after="160" w:line="276"/>
      </w:pPr>
      <w:r>
        <w:rPr>
          <w:b/>
          <w:bCs/>
          <w:color w:val="1F2937"/>
          <w:sz w:val="22"/>
          <w:szCs w:val="22"/>
        </w:rPr>
        <w:t xml:space="preserve">Slide 29 is de zin waarmee u het deel afsluit: </w:t>
      </w:r>
      <w:r>
        <w:rPr>
          <w:color w:val="1F2937"/>
          <w:sz w:val="22"/>
          <w:szCs w:val="22"/>
        </w:rPr>
        <w:t xml:space="preserve">valt de meting tegen, dan draait u terug. Samenvoegen is goedkoper dan splitsen, en dat argument werkt beide kanten op.</w:t>
      </w:r>
    </w:p>
    <w:p>
      <w:pPr>
        <w:spacing w:after="160" w:line="276"/>
      </w:pPr>
      <w:r>
        <w:rPr>
          <w:color w:val="1F2937"/>
          <w:sz w:val="22"/>
          <w:szCs w:val="22"/>
        </w:rPr>
        <w:t xml:space="preserve">Deze symmetrie is belangrijk. Een architect die het samenvoegen-is-goedkoper-argument alleen gebruikt om splitsen tegen te houden en niet om een mislukte splitsing terug te draaien, is niet consequent — en de groep merkt dat.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"In niveau 1 zei u dat we niet moesten splitsen."</w:t>
      </w:r>
      <w:r>
        <w:rPr>
          <w:color w:val="1F2937"/>
          <w:sz w:val="22"/>
          <w:szCs w:val="22"/>
        </w:rPr>
        <w:t xml:space="preserve"> Komt gegarandeerd, en het is een goede vraag. Het antwoord: in niveau 1 waren nul van de vier drijvers aanwezig; nu is er één, en daarom splitsen we één ding. De uitspraak was nooit "niet splitsen" maar "toets de drijvers". Dat onderscheid is de hele les van beide delen.</w:t>
      </w:r>
    </w:p>
    <w:p>
      <w:pPr>
        <w:spacing w:after="160" w:line="276"/>
      </w:pPr>
      <w:r>
        <w:rPr>
          <w:b/>
          <w:bCs/>
          <w:color w:val="1F2937"/>
          <w:sz w:val="22"/>
          <w:szCs w:val="22"/>
        </w:rPr>
        <w:t xml:space="preserve">De groep wil alsnog naar volledige microservices.</w:t>
      </w:r>
      <w:r>
        <w:rPr>
          <w:color w:val="1F2937"/>
          <w:sz w:val="22"/>
          <w:szCs w:val="22"/>
        </w:rPr>
        <w:t xml:space="preserve"> Vraag naar de drijver per beoogde dienst. Bij zes voorgestelde diensten is er doorgaans één met een drijver. Dat gesprek voert zichzelf.</w:t>
      </w:r>
    </w:p>
    <w:p>
      <w:pPr>
        <w:spacing w:after="160" w:line="276"/>
      </w:pPr>
      <w:r>
        <w:rPr>
          <w:b/>
          <w:bCs/>
          <w:color w:val="1F2937"/>
          <w:sz w:val="22"/>
          <w:szCs w:val="22"/>
        </w:rPr>
        <w:t xml:space="preserve">"Onze organisatie zit al op microservices en kan niet terug."</w:t>
      </w:r>
      <w:r>
        <w:rPr>
          <w:color w:val="1F2937"/>
          <w:sz w:val="22"/>
          <w:szCs w:val="22"/>
        </w:rPr>
        <w:t xml:space="preserve"> Vaker waar in perceptie dan in feite. Vraag: welke twee diensten worden altijd samen uitgerold en delen gegevens? Dat zijn samenvoegkandidaten, en samenvoegen is technisch eenvoudiger dan men denkt. De echte belemmering is organisatorisch — twee teams samenvoegen — en dat is het onderwerp van deel 21.</w:t>
      </w:r>
    </w:p>
    <w:p>
      <w:pPr>
        <w:spacing w:after="160" w:line="276"/>
      </w:pPr>
      <w:r>
        <w:rPr>
          <w:b/>
          <w:bCs/>
          <w:color w:val="1F2937"/>
          <w:sz w:val="22"/>
          <w:szCs w:val="22"/>
        </w:rPr>
        <w:t xml:space="preserve">De gedistribueerde-transactiediscussie.</w:t>
      </w:r>
      <w:r>
        <w:rPr>
          <w:color w:val="1F2937"/>
          <w:sz w:val="22"/>
          <w:szCs w:val="22"/>
        </w:rPr>
        <w:t xml:space="preserve"> Iemand stelt dat moderne technieken dit oplossen. Erken dat er goede patronen zijn en houd de lijn: het probleem verschuift, het verdwijnt niet, en de compensatievraag blijft een domeinvraag. Dat laatste is het argument dat niet met techniek te weerleggen is.</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4"/>
        </w:numPr>
        <w:spacing w:after="120"/>
      </w:pPr>
      <w:r>
        <w:rPr>
          <w:color w:val="1F2937"/>
          <w:sz w:val="22"/>
          <w:szCs w:val="22"/>
        </w:rPr>
        <w:t xml:space="preserve">Wie wil splitsen op grond van drijver 2 (tijdelijke piek)? Verwart een capaciteitsvraag met een architectuurvraag; let hierop in deel 15.</w:t>
      </w:r>
    </w:p>
    <w:p>
      <w:pPr>
        <w:pStyle w:val="ListParagraph"/>
        <w:numPr>
          <w:ilvl w:val="0"/>
          <w:numId w:val="4"/>
        </w:numPr>
        <w:spacing w:after="120"/>
      </w:pPr>
      <w:r>
        <w:rPr>
          <w:color w:val="1F2937"/>
          <w:sz w:val="22"/>
          <w:szCs w:val="22"/>
        </w:rPr>
        <w:t xml:space="preserve">Wie formuleert bij opdracht 13.7c een scenario dat de verkeerde drijver toetst? Dit is het meest voorkomende meetprobleem en het loopt door naar deel 18.</w:t>
      </w:r>
    </w:p>
    <w:p>
      <w:pPr>
        <w:pStyle w:val="ListParagraph"/>
        <w:numPr>
          <w:ilvl w:val="0"/>
          <w:numId w:val="4"/>
        </w:numPr>
        <w:spacing w:after="120"/>
      </w:pPr>
      <w:r>
        <w:rPr>
          <w:color w:val="1F2937"/>
          <w:sz w:val="22"/>
          <w:szCs w:val="22"/>
        </w:rPr>
        <w:t xml:space="preserve">Wie beantwoordt de compensatievraag technisch? Mist dat een saga domeinbeslissingen vraagt; dit wreekt zich in deel 14 en in niveau 3.</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2"/>
        </w:numPr>
        <w:spacing w:after="100"/>
      </w:pPr>
      <w:r>
        <w:rPr>
          <w:color w:val="1F2937"/>
          <w:sz w:val="22"/>
          <w:szCs w:val="22"/>
        </w:rPr>
        <w:t xml:space="preserve">Slidedeck deel 13</w:t>
      </w:r>
    </w:p>
    <w:p>
      <w:pPr>
        <w:pStyle w:val="ListParagraph"/>
        <w:numPr>
          <w:ilvl w:val="0"/>
          <w:numId w:val="2"/>
        </w:numPr>
        <w:spacing w:after="100"/>
      </w:pPr>
      <w:r>
        <w:rPr>
          <w:color w:val="1F2937"/>
          <w:sz w:val="22"/>
          <w:szCs w:val="22"/>
        </w:rPr>
        <w:t xml:space="preserve">Reader en werkboek, per deelnemer</w:t>
      </w:r>
    </w:p>
    <w:p>
      <w:pPr>
        <w:pStyle w:val="ListParagraph"/>
        <w:numPr>
          <w:ilvl w:val="0"/>
          <w:numId w:val="2"/>
        </w:numPr>
        <w:spacing w:after="100"/>
      </w:pPr>
      <w:r>
        <w:rPr>
          <w:color w:val="1F2937"/>
          <w:sz w:val="22"/>
          <w:szCs w:val="22"/>
        </w:rPr>
        <w:t xml:space="preserve">Bijlage AI: overnamedossier met volumes en conversieplanning</w:t>
      </w:r>
    </w:p>
    <w:p>
      <w:pPr>
        <w:pStyle w:val="ListParagraph"/>
        <w:numPr>
          <w:ilvl w:val="0"/>
          <w:numId w:val="2"/>
        </w:numPr>
        <w:spacing w:after="100"/>
      </w:pPr>
      <w:r>
        <w:rPr>
          <w:color w:val="1F2937"/>
          <w:sz w:val="22"/>
          <w:szCs w:val="22"/>
        </w:rPr>
        <w:t xml:space="preserve">Bijlage AJ: uitrolstatistiek van twintig sprints — het belangrijkste materiaal van dit deel</w:t>
      </w:r>
    </w:p>
    <w:p>
      <w:pPr>
        <w:pStyle w:val="ListParagraph"/>
        <w:numPr>
          <w:ilvl w:val="0"/>
          <w:numId w:val="2"/>
        </w:numPr>
        <w:spacing w:after="100"/>
      </w:pPr>
      <w:r>
        <w:rPr>
          <w:color w:val="1F2937"/>
          <w:sz w:val="22"/>
          <w:szCs w:val="22"/>
        </w:rPr>
        <w:t xml:space="preserve">Bijlage AK: aanleverformaat versie 1.3 met elf afnemers en hun laatste aanpassingsdatum</w:t>
      </w:r>
    </w:p>
    <w:p>
      <w:pPr>
        <w:pStyle w:val="ListParagraph"/>
        <w:numPr>
          <w:ilvl w:val="0"/>
          <w:numId w:val="2"/>
        </w:numPr>
        <w:spacing w:after="100"/>
      </w:pPr>
      <w:r>
        <w:rPr>
          <w:color w:val="1F2937"/>
          <w:sz w:val="22"/>
          <w:szCs w:val="22"/>
        </w:rPr>
        <w:t xml:space="preserve">De ADR met de herzieningsgrens uit niveau 1, deel 5 — deelnemers moeten hem er letterlijk bij pakken</w:t>
      </w:r>
    </w:p>
    <w:p>
      <w:pPr>
        <w:pStyle w:val="ListParagraph"/>
        <w:numPr>
          <w:ilvl w:val="0"/>
          <w:numId w:val="2"/>
        </w:numPr>
        <w:spacing w:after="100"/>
      </w:pPr>
      <w:r>
        <w:rPr>
          <w:color w:val="1F2937"/>
          <w:sz w:val="22"/>
          <w:szCs w:val="22"/>
        </w:rPr>
        <w:t xml:space="preserve">De aggregaattekeningen uit deel 12</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14 behandelt event-driven architectuur, event sourcing en CQRS. De brug: we hebben nu gebeurtenissen die diensten verbinden, een outbox die ze betrouwbaar publiceert, en ontvangers die idempotent verwerken. Volgende keer de vraag die daaronder ligt: wat als die gebeurtenissen niet alleen berichten zijn maar de bron van waarheid? Dat was de keuze uit deel 5 van niveau 1 — de mutatiegeschiedenis als bron in plaats van als bijproduct — en volgende keer bouwen we hem.</w:t>
      </w:r>
    </w:p>
    <w:p>
      <w:pPr>
        <w:pBdr>
          <w:top w:val="single" w:color="E5E7EB" w:sz="4" w:space="8"/>
        </w:pBdr>
        <w:spacing w:before="400"/>
        <w:jc w:val="center"/>
      </w:pPr>
      <w:r>
        <w:rPr>
          <w:i/>
          <w:iCs/>
          <w:color w:val="6B7280"/>
          <w:sz w:val="17"/>
          <w:szCs w:val="17"/>
        </w:rPr>
        <w:t xml:space="preserve">Ductus B.V. · Cursus Softwarearchitectuur · Niveau 2, deel 13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2026-08-17T12:17:06.254Z</dcterms:created>
  <dcterms:modified xsi:type="dcterms:W3CDTF">2026-08-17T12:17:06.256Z</dcterms:modified>
</cp:coreProperties>
</file>

<file path=docProps/custom.xml><?xml version="1.0" encoding="utf-8"?>
<Properties xmlns="http://schemas.openxmlformats.org/officeDocument/2006/custom-properties" xmlns:vt="http://schemas.openxmlformats.org/officeDocument/2006/docPropsVTypes"/>
</file>