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13 — Microservicesarchitectuur</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2 (CPSA-A) · Deel 13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AI: het overnamedossier — 60.000 deelnemers, conversieplanning, volumes per nacht, en de doorlooptijd van de conversieperiode</w:t>
      </w:r>
    </w:p>
    <w:p>
      <w:pPr>
        <w:pStyle w:val="ListParagraph"/>
        <w:numPr>
          <w:ilvl w:val="0"/>
          <w:numId w:val="2"/>
        </w:numPr>
        <w:spacing w:after="100"/>
      </w:pPr>
      <w:r>
        <w:rPr>
          <w:color w:val="1F2937"/>
          <w:sz w:val="22"/>
          <w:szCs w:val="22"/>
        </w:rPr>
        <w:t xml:space="preserve">Bijlage AJ: uitrolstatistiek van de laatste twintig sprints — per uitrol wie klaar was, wie niet, en of er is uitgesteld</w:t>
      </w:r>
    </w:p>
    <w:p>
      <w:pPr>
        <w:pStyle w:val="ListParagraph"/>
        <w:numPr>
          <w:ilvl w:val="0"/>
          <w:numId w:val="2"/>
        </w:numPr>
        <w:spacing w:after="100"/>
      </w:pPr>
      <w:r>
        <w:rPr>
          <w:color w:val="1F2937"/>
          <w:sz w:val="22"/>
          <w:szCs w:val="22"/>
        </w:rPr>
        <w:t xml:space="preserve">Bijlage AK: het aanleverformaat voor werkgevers, versie 1.3, met de elf afnemende systemen en hun laatste aanpassingsdatum</w:t>
      </w:r>
    </w:p>
    <w:p>
      <w:pPr>
        <w:pStyle w:val="ListParagraph"/>
        <w:numPr>
          <w:ilvl w:val="0"/>
          <w:numId w:val="2"/>
        </w:numPr>
        <w:spacing w:after="100"/>
      </w:pPr>
      <w:r>
        <w:rPr>
          <w:color w:val="1F2937"/>
          <w:sz w:val="22"/>
          <w:szCs w:val="22"/>
        </w:rPr>
        <w:t xml:space="preserve">Uw modulith-indeling, aggregaten en ADR met herzieningsgrens</w:t>
      </w:r>
    </w:p>
    <w:p>
      <w:pPr>
        <w:pStyle w:val="Heading1"/>
        <w:pBdr>
          <w:bottom w:val="single" w:color="E5E7EB" w:sz="6" w:space="6"/>
        </w:pBdr>
        <w:spacing w:after="180" w:before="380"/>
      </w:pPr>
      <w:r>
        <w:rPr>
          <w:b/>
          <w:bCs/>
          <w:color w:val="1F3A5F"/>
          <w:sz w:val="30"/>
          <w:szCs w:val="30"/>
        </w:rPr>
        <w:t xml:space="preserve">Opdracht 13.1 — De herzieningsgrens toetsen (individueel, 20 minuten)</w:t>
      </w:r>
    </w:p>
    <w:p>
      <w:pPr>
        <w:pStyle w:val="ListParagraph"/>
        <w:numPr>
          <w:ilvl w:val="0"/>
          <w:numId w:val="2"/>
        </w:numPr>
        <w:spacing w:after="100"/>
      </w:pPr>
      <w:r>
        <w:rPr>
          <w:b/>
          <w:bCs/>
          <w:color w:val="1F2937"/>
          <w:sz w:val="22"/>
          <w:szCs w:val="22"/>
        </w:rPr>
        <w:t xml:space="preserve">a)</w:t>
      </w:r>
      <w:r>
        <w:rPr>
          <w:color w:val="1F2937"/>
          <w:sz w:val="22"/>
          <w:szCs w:val="22"/>
        </w:rPr>
        <w:t xml:space="preserve"> Haal uw ADR met de distributiekeuze erbij. Lees de herzieningsgrens letterlijk.</w:t>
      </w:r>
    </w:p>
    <w:p>
      <w:pPr>
        <w:pStyle w:val="ListParagraph"/>
        <w:numPr>
          <w:ilvl w:val="0"/>
          <w:numId w:val="2"/>
        </w:numPr>
        <w:spacing w:after="100"/>
      </w:pPr>
      <w:r>
        <w:rPr>
          <w:b/>
          <w:bCs/>
          <w:color w:val="1F2937"/>
          <w:sz w:val="22"/>
          <w:szCs w:val="22"/>
        </w:rPr>
        <w:t xml:space="preserve">b)</w:t>
      </w:r>
      <w:r>
        <w:rPr>
          <w:color w:val="1F2937"/>
          <w:sz w:val="22"/>
          <w:szCs w:val="22"/>
        </w:rPr>
        <w:t xml:space="preserve"> Is die grens overschreden door de overname? Beoordeel per voorwaarde afzonderlijk, met de gegevens uit bijlage AI.</w:t>
      </w:r>
    </w:p>
    <w:p>
      <w:pPr>
        <w:pStyle w:val="ListParagraph"/>
        <w:numPr>
          <w:ilvl w:val="0"/>
          <w:numId w:val="2"/>
        </w:numPr>
        <w:spacing w:after="100"/>
      </w:pPr>
      <w:r>
        <w:rPr>
          <w:b/>
          <w:bCs/>
          <w:color w:val="1F2937"/>
          <w:sz w:val="22"/>
          <w:szCs w:val="22"/>
        </w:rPr>
        <w:t xml:space="preserve">c)</w:t>
      </w:r>
      <w:r>
        <w:rPr>
          <w:color w:val="1F2937"/>
          <w:sz w:val="22"/>
          <w:szCs w:val="22"/>
        </w:rPr>
        <w:t xml:space="preserve"> Bij welke voorwaarde twijfelt u, en welk gegeven zou de twijfel wegnemen?</w:t>
      </w:r>
    </w:p>
    <w:p>
      <w:pPr>
        <w:pStyle w:val="ListParagraph"/>
        <w:numPr>
          <w:ilvl w:val="0"/>
          <w:numId w:val="2"/>
        </w:numPr>
        <w:spacing w:after="100"/>
      </w:pPr>
      <w:r>
        <w:rPr>
          <w:b/>
          <w:bCs/>
          <w:color w:val="1F2937"/>
          <w:sz w:val="22"/>
          <w:szCs w:val="22"/>
        </w:rPr>
        <w:t xml:space="preserve">d)</w:t>
      </w:r>
      <w:r>
        <w:rPr>
          <w:color w:val="1F2937"/>
          <w:sz w:val="22"/>
          <w:szCs w:val="22"/>
        </w:rPr>
        <w:t xml:space="preserve"> De belangrijkste vraag: stel dat u deze herzieningsgrens niet had vastgelegd. Wat zou er in sprint 9 gebeurd zijn?</w:t>
      </w:r>
    </w:p>
    <w:p>
      <w:pPr>
        <w:spacing w:after="160" w:line="276"/>
      </w:pPr>
      <w:r>
        <w:rPr>
          <w:color w:val="1F2937"/>
          <w:sz w:val="22"/>
          <w:szCs w:val="22"/>
        </w:rPr>
        <w:t xml:space="preserve">Onderdeel d) is geen retorische vraag. Beschrijf het verloop van het gesprek zoals het waarschijnlijk zou zijn gegaan.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13.1</w:t>
            </w:r>
          </w:p>
          <w:p>
            <w:pPr>
              <w:spacing w:after="80"/>
            </w:pPr>
          </w:p>
          <w:p>
            <w:pPr>
              <w:spacing w:after="120" w:line="276"/>
            </w:pPr>
            <w:r>
              <w:rPr>
                <w:b/>
                <w:bCs/>
                <w:color w:val="1F2937"/>
                <w:sz w:val="21"/>
                <w:szCs w:val="21"/>
              </w:rPr>
              <w:t xml:space="preserve">b) </w:t>
            </w:r>
            <w:r>
              <w:rPr>
                <w:color w:val="1F2937"/>
                <w:sz w:val="21"/>
                <w:szCs w:val="21"/>
              </w:rPr>
              <w:t xml:space="preserve">Van de drie voorwaarden is er één zeker niet overschreden (vier teams — er komen er drie), één tijdelijk overschreden (tienvoudige capaciteit — de conversiebatch gaat maal vijftig, maar vier maanden lang), en één die aandacht vraagt maar niet letterlijk in de grens stond: de vraag of een module een eigen beschikbaarheidsregime nodig heeft.</w:t>
            </w:r>
          </w:p>
          <w:p>
            <w:pPr>
              <w:spacing w:after="120" w:line="276"/>
            </w:pPr>
            <w:r>
              <w:rPr>
                <w:b/>
                <w:bCs/>
                <w:color w:val="1F2937"/>
                <w:sz w:val="21"/>
                <w:szCs w:val="21"/>
              </w:rPr>
              <w:t xml:space="preserve">Dat laatste is instructief.</w:t>
            </w:r>
            <w:r>
              <w:rPr>
                <w:color w:val="1F2937"/>
                <w:sz w:val="21"/>
                <w:szCs w:val="21"/>
              </w:rPr>
              <w:t xml:space="preserve"> De herzieningsgrens noemde "een beschikbaarheidseis die de rest niet heeft". De conversie heeft geen hogere beschikbaarheidseis — zij heeft juist een lagere, en zij bedreigt die van de rest. Dat geval was niet voorzien.</w:t>
            </w:r>
          </w:p>
          <w:p>
            <w:pPr>
              <w:spacing w:after="120" w:line="276"/>
            </w:pPr>
            <w:r>
              <w:rPr>
                <w:b/>
                <w:bCs/>
                <w:color w:val="1F2937"/>
                <w:sz w:val="21"/>
                <w:szCs w:val="21"/>
              </w:rPr>
              <w:t xml:space="preserve">Een herzieningsgrens is dus zelf herzienbaar.</w:t>
            </w:r>
            <w:r>
              <w:rPr>
                <w:color w:val="1F2937"/>
                <w:sz w:val="21"/>
                <w:szCs w:val="21"/>
              </w:rPr>
              <w:t xml:space="preserve"> Wie merkt dat de werkelijkheid een geval oplevert dat de grens niet dekt, past de grens aan in plaats van het geval weg te redeneren. Dat hoort in de ADR, met vermelding van de aanleiding.</w:t>
            </w:r>
          </w:p>
          <w:p>
            <w:pPr>
              <w:spacing w:after="120" w:line="276"/>
            </w:pPr>
            <w:r>
              <w:rPr>
                <w:b/>
                <w:bCs/>
                <w:color w:val="1F2937"/>
                <w:sz w:val="21"/>
                <w:szCs w:val="21"/>
              </w:rPr>
              <w:t xml:space="preserve">d) </w:t>
            </w:r>
            <w:r>
              <w:rPr>
                <w:color w:val="1F2937"/>
                <w:sz w:val="21"/>
                <w:szCs w:val="21"/>
              </w:rPr>
              <w:t xml:space="preserve">Zonder herzieningsgrens verloopt het gesprek voorspelbaar: iemand stelt dat "we altijd al hadden moeten splitsen", iemand anders dat "we net alles net werkend hebben", en de uitkomst hangt af van wie het hardst praat of het hoogst in de organisatie zit. Er is geen gedeeld criterium, dus de discussie gaat over posities in plaats van over feiten.</w:t>
            </w:r>
          </w:p>
          <w:p>
            <w:pPr>
              <w:spacing w:after="120" w:line="276"/>
            </w:pPr>
            <w:r>
              <w:rPr>
                <w:color w:val="1F2937"/>
                <w:sz w:val="21"/>
                <w:szCs w:val="21"/>
              </w:rPr>
              <w:t xml:space="preserve">Met de grens gaat de discussie over drie toetsbare voorwaarden en over de vraag welk gegeven ontbreekt. Dat is de hele opbrengst, en zij kostte drie regels in een ADR.</w:t>
            </w:r>
          </w:p>
        </w:tc>
      </w:tr>
    </w:tbl>
    <w:p>
      <w:pPr>
        <w:spacing w:after="300"/>
      </w:pPr>
    </w:p>
    <w:p>
      <w:pPr>
        <w:pStyle w:val="Heading1"/>
        <w:pBdr>
          <w:bottom w:val="single" w:color="E5E7EB" w:sz="6" w:space="6"/>
        </w:pBdr>
        <w:spacing w:after="180" w:before="380"/>
      </w:pPr>
      <w:r>
        <w:rPr>
          <w:b/>
          <w:bCs/>
          <w:color w:val="1F3A5F"/>
          <w:sz w:val="30"/>
          <w:szCs w:val="30"/>
        </w:rPr>
        <w:t xml:space="preserve">Opdracht 13.2 — De drijvers opnieuw toetsen (duo's, 30 minuten)</w:t>
      </w:r>
    </w:p>
    <w:p>
      <w:pPr>
        <w:pStyle w:val="ListParagraph"/>
        <w:numPr>
          <w:ilvl w:val="0"/>
          <w:numId w:val="2"/>
        </w:numPr>
        <w:spacing w:after="100"/>
      </w:pPr>
      <w:r>
        <w:rPr>
          <w:b/>
          <w:bCs/>
          <w:color w:val="1F2937"/>
          <w:sz w:val="22"/>
          <w:szCs w:val="22"/>
        </w:rPr>
        <w:t xml:space="preserve">a)</w:t>
      </w:r>
      <w:r>
        <w:rPr>
          <w:color w:val="1F2937"/>
          <w:sz w:val="22"/>
          <w:szCs w:val="22"/>
        </w:rPr>
        <w:t xml:space="preserve"> Loop de vier drijvers uit deel 5 langs met de situatie na de overname. Scoor elk als aanwezig, afwezig of mogelijk, met motivering.</w:t>
      </w:r>
    </w:p>
    <w:p>
      <w:pPr>
        <w:pStyle w:val="ListParagraph"/>
        <w:numPr>
          <w:ilvl w:val="0"/>
          <w:numId w:val="2"/>
        </w:numPr>
        <w:spacing w:after="100"/>
      </w:pPr>
      <w:r>
        <w:rPr>
          <w:b/>
          <w:bCs/>
          <w:color w:val="1F2937"/>
          <w:sz w:val="22"/>
          <w:szCs w:val="22"/>
        </w:rPr>
        <w:t xml:space="preserve">b)</w:t>
      </w:r>
      <w:r>
        <w:rPr>
          <w:color w:val="1F2937"/>
          <w:sz w:val="22"/>
          <w:szCs w:val="22"/>
        </w:rPr>
        <w:t xml:space="preserve"> Bij drijver 2 (schalen): de conversiepiek duurt vier maanden. Noem drie goedkopere maatregelen dan splitsen, met hun kosten. Welke zou u eerst proberen?</w:t>
      </w:r>
    </w:p>
    <w:p>
      <w:pPr>
        <w:pStyle w:val="ListParagraph"/>
        <w:numPr>
          <w:ilvl w:val="0"/>
          <w:numId w:val="2"/>
        </w:numPr>
        <w:spacing w:after="100"/>
      </w:pPr>
      <w:r>
        <w:rPr>
          <w:b/>
          <w:bCs/>
          <w:color w:val="1F2937"/>
          <w:sz w:val="22"/>
          <w:szCs w:val="22"/>
        </w:rPr>
        <w:t xml:space="preserve">c)</w:t>
      </w:r>
      <w:r>
        <w:rPr>
          <w:color w:val="1F2937"/>
          <w:sz w:val="22"/>
          <w:szCs w:val="22"/>
        </w:rPr>
        <w:t xml:space="preserve"> Bij drijver 1 (uitrollen): gebruik bijlage AJ. Hoe vaak is in de laatste twintig sprints een uitrol uitgesteld omdat een ander team niet klaar was? Is dat een probleem?</w:t>
      </w:r>
    </w:p>
    <w:p>
      <w:pPr>
        <w:pStyle w:val="ListParagraph"/>
        <w:numPr>
          <w:ilvl w:val="0"/>
          <w:numId w:val="2"/>
        </w:numPr>
        <w:spacing w:after="100"/>
      </w:pPr>
      <w:r>
        <w:rPr>
          <w:b/>
          <w:bCs/>
          <w:color w:val="1F2937"/>
          <w:sz w:val="22"/>
          <w:szCs w:val="22"/>
        </w:rPr>
        <w:t xml:space="preserve">d)</w:t>
      </w:r>
      <w:r>
        <w:rPr>
          <w:color w:val="1F2937"/>
          <w:sz w:val="22"/>
          <w:szCs w:val="22"/>
        </w:rPr>
        <w:t xml:space="preserve"> Bij drijver 3 (falen): beschrijf concreet wat er gebeurt als de conversiebatch de gedeelde database dichtzet op een dinsdagochtend. Wie merkt het, en hoeveel mensen?</w:t>
      </w:r>
    </w:p>
    <w:p>
      <w:pPr>
        <w:pStyle w:val="ListParagraph"/>
        <w:numPr>
          <w:ilvl w:val="0"/>
          <w:numId w:val="2"/>
        </w:numPr>
        <w:spacing w:after="100"/>
      </w:pPr>
      <w:r>
        <w:rPr>
          <w:b/>
          <w:bCs/>
          <w:color w:val="1F2937"/>
          <w:sz w:val="22"/>
          <w:szCs w:val="22"/>
        </w:rPr>
        <w:t xml:space="preserve">e)</w:t>
      </w:r>
      <w:r>
        <w:rPr>
          <w:color w:val="1F2937"/>
          <w:sz w:val="22"/>
          <w:szCs w:val="22"/>
        </w:rPr>
        <w:t xml:space="preserve"> Formuleer uw conclusie: splitsen of niet, en zo ja: wat precies?</w:t>
      </w:r>
    </w:p>
    <w:p>
      <w:pPr>
        <w:spacing w:after="160" w:line="276"/>
      </w:pPr>
      <w:r>
        <w:rPr>
          <w:color w:val="1F2937"/>
          <w:sz w:val="22"/>
          <w:szCs w:val="22"/>
        </w:rPr>
        <w:t xml:space="preserve">Onderdeel c) is bewust empirisch. Een teamaantal is geen drijver; wachten op elkaar is dat wel.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13.2</w:t>
            </w:r>
          </w:p>
          <w:p>
            <w:pPr>
              <w:spacing w:after="80"/>
            </w:pPr>
          </w:p>
          <w:p>
            <w:pPr>
              <w:spacing w:after="120" w:line="276"/>
            </w:pPr>
            <w:r>
              <w:rPr>
                <w:b/>
                <w:bCs/>
                <w:color w:val="1F2937"/>
                <w:sz w:val="21"/>
                <w:szCs w:val="21"/>
              </w:rPr>
              <w:t xml:space="preserve">a) </w:t>
            </w:r>
            <w:r>
              <w:rPr>
                <w:color w:val="1F2937"/>
                <w:sz w:val="21"/>
                <w:szCs w:val="21"/>
              </w:rPr>
              <w:t xml:space="preserve">Zie de tabel in de reader: drijver 1 mogelijk, 2 aanwezig maar tijdelijk, 3 mogelijk en inhoudelijk het scherpst, 4 afwezig.</w:t>
            </w:r>
          </w:p>
          <w:p>
            <w:pPr>
              <w:spacing w:after="120" w:line="276"/>
            </w:pPr>
            <w:r>
              <w:rPr>
                <w:b/>
                <w:bCs/>
                <w:color w:val="1F2937"/>
                <w:sz w:val="21"/>
                <w:szCs w:val="21"/>
              </w:rPr>
              <w:t xml:space="preserve">b) Drie goedkopere maatregelen bij drijver 2:</w:t>
            </w:r>
            <w:r>
              <w:rPr>
                <w:color w:val="1F2937"/>
                <w:sz w:val="21"/>
                <w:szCs w:val="21"/>
              </w:rPr>
              <w:t xml:space="preserve"/>
            </w:r>
          </w:p>
          <w:p>
            <w:pPr>
              <w:pStyle w:val="ListParagraph"/>
              <w:numPr>
                <w:ilvl w:val="0"/>
                <w:numId w:val="3"/>
              </w:numPr>
              <w:spacing w:after="120"/>
            </w:pPr>
            <w:r>
              <w:rPr>
                <w:b/>
                <w:bCs/>
                <w:color w:val="1F2937"/>
                <w:sz w:val="22"/>
                <w:szCs w:val="22"/>
              </w:rPr>
              <w:t xml:space="preserve">Tijdelijk meer capaciteit</w:t>
            </w:r>
            <w:r>
              <w:rPr>
                <w:color w:val="1F2937"/>
                <w:sz w:val="22"/>
                <w:szCs w:val="22"/>
              </w:rPr>
              <w:t xml:space="preserve"> tijdens de conversieperiode. Kosten: enkele maanden extra infrastructuur. Verreweg het goedkoopst.</w:t>
            </w:r>
          </w:p>
          <w:p>
            <w:pPr>
              <w:pStyle w:val="ListParagraph"/>
              <w:numPr>
                <w:ilvl w:val="0"/>
                <w:numId w:val="3"/>
              </w:numPr>
              <w:spacing w:after="120"/>
            </w:pPr>
            <w:r>
              <w:rPr>
                <w:b/>
                <w:bCs/>
                <w:color w:val="1F2937"/>
                <w:sz w:val="22"/>
                <w:szCs w:val="22"/>
              </w:rPr>
              <w:t xml:space="preserve">De conversie in tranches verdelen</w:t>
            </w:r>
            <w:r>
              <w:rPr>
                <w:color w:val="1F2937"/>
                <w:sz w:val="22"/>
                <w:szCs w:val="22"/>
              </w:rPr>
              <w:t xml:space="preserve"> — bijvoorbeeld 20.000 deelnemers per maand in plaats van alles ineens. Kosten: langere doorlooptijd, meer coördinatie. Vaak toch de beste keuze, want zij verkleint ook het risico.</w:t>
            </w:r>
          </w:p>
          <w:p>
            <w:pPr>
              <w:pStyle w:val="ListParagraph"/>
              <w:numPr>
                <w:ilvl w:val="0"/>
                <w:numId w:val="3"/>
              </w:numPr>
              <w:spacing w:after="120"/>
            </w:pPr>
            <w:r>
              <w:rPr>
                <w:b/>
                <w:bCs/>
                <w:color w:val="1F2937"/>
                <w:sz w:val="22"/>
                <w:szCs w:val="22"/>
              </w:rPr>
              <w:t xml:space="preserve">De conversie buiten het nachtvenster draaien</w:t>
            </w:r>
            <w:r>
              <w:rPr>
                <w:color w:val="1F2937"/>
                <w:sz w:val="22"/>
                <w:szCs w:val="22"/>
              </w:rPr>
              <w:t xml:space="preserve">, bijvoorbeeld in het weekend. Kosten: planning en bezetting.</w:t>
            </w:r>
          </w:p>
          <w:p>
            <w:pPr>
              <w:spacing w:after="120" w:line="276"/>
            </w:pPr>
            <w:r>
              <w:rPr>
                <w:b/>
                <w:bCs/>
                <w:color w:val="1F2937"/>
                <w:sz w:val="21"/>
                <w:szCs w:val="21"/>
              </w:rPr>
              <w:t xml:space="preserve">Eerst proberen: </w:t>
            </w:r>
            <w:r>
              <w:rPr>
                <w:color w:val="1F2937"/>
                <w:sz w:val="21"/>
                <w:szCs w:val="21"/>
              </w:rPr>
              <w:t xml:space="preserve">tranches. Niet alleen wegens kosten, maar omdat een gefaseerde conversie u laat leren van de eerste tranche — dat is het strangler-argument, toegepast op gegevens in plaats van op code.</w:t>
            </w:r>
          </w:p>
          <w:p>
            <w:pPr>
              <w:spacing w:after="120" w:line="276"/>
            </w:pPr>
            <w:r>
              <w:rPr>
                <w:b/>
                <w:bCs/>
                <w:color w:val="1F2937"/>
                <w:sz w:val="21"/>
                <w:szCs w:val="21"/>
              </w:rPr>
              <w:t xml:space="preserve">c) </w:t>
            </w:r>
            <w:r>
              <w:rPr>
                <w:color w:val="1F2937"/>
                <w:sz w:val="21"/>
                <w:szCs w:val="21"/>
              </w:rPr>
              <w:t xml:space="preserve">In bijlage AJ is in de laatste twintig sprints vier keer uitgesteld, waarvan drie keer om dezelfde reden (het koppelvlak met de kernadministratie was niet klaar) en één keer wegens een testomgeving.</w:t>
            </w:r>
          </w:p>
          <w:p>
            <w:pPr>
              <w:spacing w:after="120" w:line="276"/>
            </w:pPr>
            <w:r>
              <w:rPr>
                <w:b/>
                <w:bCs/>
                <w:color w:val="1F2937"/>
                <w:sz w:val="21"/>
                <w:szCs w:val="21"/>
              </w:rPr>
              <w:t xml:space="preserve">Dat is geen drijver.</w:t>
            </w:r>
            <w:r>
              <w:rPr>
                <w:color w:val="1F2937"/>
                <w:sz w:val="21"/>
                <w:szCs w:val="21"/>
              </w:rPr>
              <w:t xml:space="preserve"> Drie van de vier keer wachtte men op één specifiek koppelvlak, niet op teamonafhankelijkheid — dat lost u op door dat koppelvlak eerder klaar te hebben, niet door te splitsen.</w:t>
            </w:r>
          </w:p>
          <w:p>
            <w:pPr>
              <w:spacing w:after="120" w:line="276"/>
            </w:pPr>
            <w:r>
              <w:rPr>
                <w:b/>
                <w:bCs/>
                <w:color w:val="1F2937"/>
                <w:sz w:val="21"/>
                <w:szCs w:val="21"/>
              </w:rPr>
              <w:t xml:space="preserve">Dit is de belangrijkste les van de opdracht: </w:t>
            </w:r>
            <w:r>
              <w:rPr>
                <w:color w:val="1F2937"/>
                <w:sz w:val="21"/>
                <w:szCs w:val="21"/>
              </w:rPr>
              <w:t xml:space="preserve">de vraag "zitten teams elkaar in de weg" is meetbaar, en het antwoord is verrassend vaak nee. Wie op teamaantal splitst zonder te meten, splitst op een aanname.</w:t>
            </w:r>
          </w:p>
          <w:p>
            <w:pPr>
              <w:spacing w:after="120" w:line="276"/>
            </w:pPr>
            <w:r>
              <w:rPr>
                <w:b/>
                <w:bCs/>
                <w:color w:val="1F2937"/>
                <w:sz w:val="21"/>
                <w:szCs w:val="21"/>
              </w:rPr>
              <w:t xml:space="preserve">d) </w:t>
            </w:r>
            <w:r>
              <w:rPr>
                <w:color w:val="1F2937"/>
                <w:sz w:val="21"/>
                <w:szCs w:val="21"/>
              </w:rPr>
              <w:t xml:space="preserve">Als de conversiebatch de gedeelde database dichtzet op dinsdagochtend: het zelfbedieningsportaal wordt traag of onbereikbaar, behandelaars kunnen geen dossiers openen, en de werkgeversaanlevering van de andere elf werkgevers loopt vertraging op. Getroffen: 340.000 deelnemers en de hele operatie, veroorzaakt door een tijdelijk project.</w:t>
            </w:r>
          </w:p>
          <w:p>
            <w:pPr>
              <w:spacing w:after="120" w:line="276"/>
            </w:pPr>
            <w:r>
              <w:rPr>
                <w:b/>
                <w:bCs/>
                <w:color w:val="1F2937"/>
                <w:sz w:val="21"/>
                <w:szCs w:val="21"/>
              </w:rPr>
              <w:t xml:space="preserve">Dat is een echt architectuurargument,</w:t>
            </w:r>
            <w:r>
              <w:rPr>
                <w:color w:val="1F2937"/>
                <w:sz w:val="21"/>
                <w:szCs w:val="21"/>
              </w:rPr>
              <w:t xml:space="preserve"> en het is het enige van de vier dat niet met capaciteit of planning op te lossen is. Isolatie van falen is precies waarvoor een dienstgrens dient.</w:t>
            </w:r>
          </w:p>
          <w:p>
            <w:pPr>
              <w:spacing w:after="120" w:line="276"/>
            </w:pPr>
            <w:r>
              <w:rPr>
                <w:b/>
                <w:bCs/>
                <w:color w:val="1F2937"/>
                <w:sz w:val="21"/>
                <w:szCs w:val="21"/>
              </w:rPr>
              <w:t xml:space="preserve">e) </w:t>
            </w:r>
            <w:r>
              <w:rPr>
                <w:color w:val="1F2937"/>
                <w:sz w:val="21"/>
                <w:szCs w:val="21"/>
              </w:rPr>
              <w:t xml:space="preserve">Splits de werkgeversaanlevering en conversie af als één dienst; laat de rest modulith. Eén splitsing, op grond van drijver 3.</w:t>
            </w:r>
          </w:p>
        </w:tc>
      </w:tr>
    </w:tbl>
    <w:p>
      <w:pPr>
        <w:spacing w:after="300"/>
      </w:pPr>
    </w:p>
    <w:p>
      <w:pPr>
        <w:pStyle w:val="Heading1"/>
        <w:pBdr>
          <w:bottom w:val="single" w:color="E5E7EB" w:sz="6" w:space="6"/>
        </w:pBdr>
        <w:spacing w:after="180" w:before="380"/>
      </w:pPr>
      <w:r>
        <w:rPr>
          <w:b/>
          <w:bCs/>
          <w:color w:val="1F3A5F"/>
          <w:sz w:val="30"/>
          <w:szCs w:val="30"/>
        </w:rPr>
        <w:t xml:space="preserve">Opdracht 13.3 — De splitsingsgrens bepalen (groepen van vier, 35 minuten)</w:t>
      </w:r>
    </w:p>
    <w:p>
      <w:pPr>
        <w:spacing w:after="160" w:line="276"/>
      </w:pPr>
      <w:r>
        <w:rPr>
          <w:color w:val="1F2937"/>
          <w:sz w:val="22"/>
          <w:szCs w:val="22"/>
        </w:rPr>
        <w:t xml:space="preserve">U hebt besloten de werkgeversaanlevering en conversie af te splitsen.</w:t>
      </w:r>
    </w:p>
    <w:p>
      <w:pPr>
        <w:pStyle w:val="ListParagraph"/>
        <w:numPr>
          <w:ilvl w:val="0"/>
          <w:numId w:val="2"/>
        </w:numPr>
        <w:spacing w:after="100"/>
      </w:pPr>
      <w:r>
        <w:rPr>
          <w:b/>
          <w:bCs/>
          <w:color w:val="1F2937"/>
          <w:sz w:val="22"/>
          <w:szCs w:val="22"/>
        </w:rPr>
        <w:t xml:space="preserve">a)</w:t>
      </w:r>
      <w:r>
        <w:rPr>
          <w:color w:val="1F2937"/>
          <w:sz w:val="22"/>
          <w:szCs w:val="22"/>
        </w:rPr>
        <w:t xml:space="preserve"> Bepaal precies wat er meegaat. Welke aggregaten, welke gegevens, welke gebeurtenissen?</w:t>
      </w:r>
    </w:p>
    <w:p>
      <w:pPr>
        <w:pStyle w:val="ListParagraph"/>
        <w:numPr>
          <w:ilvl w:val="0"/>
          <w:numId w:val="2"/>
        </w:numPr>
        <w:spacing w:after="100"/>
      </w:pPr>
      <w:r>
        <w:rPr>
          <w:b/>
          <w:bCs/>
          <w:color w:val="1F2937"/>
          <w:sz w:val="22"/>
          <w:szCs w:val="22"/>
        </w:rPr>
        <w:t xml:space="preserve">b)</w:t>
      </w:r>
      <w:r>
        <w:rPr>
          <w:color w:val="1F2937"/>
          <w:sz w:val="22"/>
          <w:szCs w:val="22"/>
        </w:rPr>
        <w:t xml:space="preserve"> Toets: loopt de grens ergens dwars door een aggregaat? Zo ja, corrigeer.</w:t>
      </w:r>
    </w:p>
    <w:p>
      <w:pPr>
        <w:pStyle w:val="ListParagraph"/>
        <w:numPr>
          <w:ilvl w:val="0"/>
          <w:numId w:val="2"/>
        </w:numPr>
        <w:spacing w:after="100"/>
      </w:pPr>
      <w:r>
        <w:rPr>
          <w:b/>
          <w:bCs/>
          <w:color w:val="1F2937"/>
          <w:sz w:val="22"/>
          <w:szCs w:val="22"/>
        </w:rPr>
        <w:t xml:space="preserve">c)</w:t>
      </w:r>
      <w:r>
        <w:rPr>
          <w:color w:val="1F2937"/>
          <w:sz w:val="22"/>
          <w:szCs w:val="22"/>
        </w:rPr>
        <w:t xml:space="preserve"> Welke gegevens heeft de nieuwe dienst nodig die zij niet bezit? Kiest u synchroon opvragen of een kopie via gebeurtenissen? Motiveer per geval.</w:t>
      </w:r>
    </w:p>
    <w:p>
      <w:pPr>
        <w:pStyle w:val="ListParagraph"/>
        <w:numPr>
          <w:ilvl w:val="0"/>
          <w:numId w:val="2"/>
        </w:numPr>
        <w:spacing w:after="100"/>
      </w:pPr>
      <w:r>
        <w:rPr>
          <w:b/>
          <w:bCs/>
          <w:color w:val="1F2937"/>
          <w:sz w:val="22"/>
          <w:szCs w:val="22"/>
        </w:rPr>
        <w:t xml:space="preserve">d)</w:t>
      </w:r>
      <w:r>
        <w:rPr>
          <w:color w:val="1F2937"/>
          <w:sz w:val="22"/>
          <w:szCs w:val="22"/>
        </w:rPr>
        <w:t xml:space="preserve"> Welke gebeurtenissen gaan er nu over een netwerkgrens die eerder binnen één proces bleven? Wat verandert daardoor?</w:t>
      </w:r>
    </w:p>
    <w:p>
      <w:pPr>
        <w:pStyle w:val="ListParagraph"/>
        <w:numPr>
          <w:ilvl w:val="0"/>
          <w:numId w:val="2"/>
        </w:numPr>
        <w:spacing w:after="100"/>
      </w:pPr>
      <w:r>
        <w:rPr>
          <w:b/>
          <w:bCs/>
          <w:color w:val="1F2937"/>
          <w:sz w:val="22"/>
          <w:szCs w:val="22"/>
        </w:rPr>
        <w:t xml:space="preserve">e)</w:t>
      </w:r>
      <w:r>
        <w:rPr>
          <w:color w:val="1F2937"/>
          <w:sz w:val="22"/>
          <w:szCs w:val="22"/>
        </w:rPr>
        <w:t xml:space="preserve"> De ongemakkelijke toets. Welke handeling wijzigt na de splitsing twee diensten? Als er geen is, hebt u goed gesplitst. Als er wel een is, hebt u een saga nodig — of de grens ligt verkeerd.</w:t>
      </w:r>
    </w:p>
    <w:p>
      <w:pPr>
        <w:spacing w:after="160" w:line="276"/>
      </w:pPr>
      <w:r>
        <w:rPr>
          <w:color w:val="1F2937"/>
          <w:sz w:val="22"/>
          <w:szCs w:val="22"/>
        </w:rPr>
        <w:t xml:space="preserve">Presenteer b) en e) plenair.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13.3</w:t>
            </w:r>
          </w:p>
          <w:p>
            <w:pPr>
              <w:spacing w:after="80"/>
            </w:pPr>
          </w:p>
          <w:p>
            <w:pPr>
              <w:spacing w:after="120" w:line="276"/>
            </w:pPr>
            <w:r>
              <w:rPr>
                <w:b/>
                <w:bCs/>
                <w:color w:val="1F2937"/>
                <w:sz w:val="21"/>
                <w:szCs w:val="21"/>
              </w:rPr>
              <w:t xml:space="preserve">a) </w:t>
            </w:r>
            <w:r>
              <w:rPr>
                <w:color w:val="1F2937"/>
                <w:sz w:val="21"/>
                <w:szCs w:val="21"/>
              </w:rPr>
              <w:t xml:space="preserve">Mee gaan: het aanleveraggregaat (batch, regels, uitval), het conversieaggregaat, hun gegevens, en de gebeurtenissen die zij publiceren.</w:t>
            </w:r>
          </w:p>
          <w:p>
            <w:pPr>
              <w:spacing w:after="120" w:line="276"/>
            </w:pPr>
            <w:r>
              <w:rPr>
                <w:b/>
                <w:bCs/>
                <w:color w:val="1F2937"/>
                <w:sz w:val="21"/>
                <w:szCs w:val="21"/>
              </w:rPr>
              <w:t xml:space="preserve">b) </w:t>
            </w:r>
            <w:r>
              <w:rPr>
                <w:color w:val="1F2937"/>
                <w:sz w:val="21"/>
                <w:szCs w:val="21"/>
              </w:rPr>
              <w:t xml:space="preserve">De grens loopt nergens door een aggregaat — dat is geen toeval maar het gevolg van de modulith-opzet uit deel 5 en de aggregaatafbakening uit deel 12. Dit is de plek waar de belofte van de modulith wordt ingelost: splitsen is een verhuizing, geen verbouwing.</w:t>
            </w:r>
          </w:p>
          <w:p>
            <w:pPr>
              <w:spacing w:after="120" w:line="276"/>
            </w:pPr>
            <w:r>
              <w:rPr>
                <w:color w:val="1F2937"/>
                <w:sz w:val="21"/>
                <w:szCs w:val="21"/>
              </w:rPr>
              <w:t xml:space="preserve">Groepen die wél een doorsnijding vinden, hebben doorgaans de rapportage over aangeleverde mutaties bij de conversiedienst gelegd terwijl die op mutatiegegevens leunt. Corrigeer: de rapportage volgt uit gebeurtenissen, niet uit rechtstreekse toegang.</w:t>
            </w:r>
          </w:p>
          <w:p>
            <w:pPr>
              <w:spacing w:after="120" w:line="276"/>
            </w:pPr>
            <w:r>
              <w:rPr>
                <w:b/>
                <w:bCs/>
                <w:color w:val="1F2937"/>
                <w:sz w:val="21"/>
                <w:szCs w:val="21"/>
              </w:rPr>
              <w:t xml:space="preserve">c) </w:t>
            </w:r>
            <w:r>
              <w:rPr>
                <w:color w:val="1F2937"/>
                <w:sz w:val="21"/>
                <w:szCs w:val="21"/>
              </w:rPr>
              <w:t xml:space="preserve">De conversiedienst heeft deelnemersgegevens nodig die zij niet bezit. Synchroon opvragen is nu niet gratis meer — het is een netwerkaanroep in een batch van 200.000 records.</w:t>
            </w:r>
          </w:p>
          <w:p>
            <w:pPr>
              <w:spacing w:after="120" w:line="276"/>
            </w:pPr>
            <w:r>
              <w:rPr>
                <w:b/>
                <w:bCs/>
                <w:color w:val="1F2937"/>
                <w:sz w:val="21"/>
                <w:szCs w:val="21"/>
              </w:rPr>
              <w:t xml:space="preserve">Het juiste antwoord is een kopie via gebeurtenissen,</w:t>
            </w:r>
            <w:r>
              <w:rPr>
                <w:color w:val="1F2937"/>
                <w:sz w:val="21"/>
                <w:szCs w:val="21"/>
              </w:rPr>
              <w:t xml:space="preserve"> en dit is precies het omgekeerde van het antwoord in deel 5 van niveau 1 (waar synchroon opvragen binnen één proces triviaal was). Dezelfde vraag, ander antwoord, omdat de omstandigheden veranderd zijn. Deelnemers die dat verband leggen, hebben het spectrum begrepen.</w:t>
            </w:r>
          </w:p>
          <w:p>
            <w:pPr>
              <w:spacing w:after="120" w:line="276"/>
            </w:pPr>
            <w:r>
              <w:rPr>
                <w:b/>
                <w:bCs/>
                <w:color w:val="1F2937"/>
                <w:sz w:val="21"/>
                <w:szCs w:val="21"/>
              </w:rPr>
              <w:t xml:space="preserve">e) De handeling die twee diensten wijzigt</w:t>
            </w:r>
            <w:r>
              <w:rPr>
                <w:color w:val="1F2937"/>
                <w:sz w:val="21"/>
                <w:szCs w:val="21"/>
              </w:rPr>
              <w:t xml:space="preserve"> is conversie bevestigd: die sluit het conversieaggregaat én markeert de deelnemer als geconverteerd. Dat is een saga — opdracht 13.4.</w:t>
            </w:r>
          </w:p>
        </w:tc>
      </w:tr>
    </w:tbl>
    <w:p>
      <w:pPr>
        <w:spacing w:after="300"/>
      </w:pPr>
    </w:p>
    <w:p>
      <w:pPr>
        <w:pStyle w:val="Heading1"/>
        <w:pBdr>
          <w:bottom w:val="single" w:color="E5E7EB" w:sz="6" w:space="6"/>
        </w:pBdr>
        <w:spacing w:after="180" w:before="380"/>
      </w:pPr>
      <w:r>
        <w:rPr>
          <w:b/>
          <w:bCs/>
          <w:color w:val="1F3A5F"/>
          <w:sz w:val="30"/>
          <w:szCs w:val="30"/>
        </w:rPr>
        <w:t xml:space="preserve">Opdracht 13.4 — Een saga ontwerpen (duo's, 30 minuten)</w:t>
      </w:r>
    </w:p>
    <w:p>
      <w:pPr>
        <w:spacing w:after="160" w:line="276"/>
      </w:pPr>
      <w:r>
        <w:rPr>
          <w:color w:val="1F2937"/>
          <w:sz w:val="22"/>
          <w:szCs w:val="22"/>
        </w:rPr>
        <w:t xml:space="preserve">De conversie van één deelnemer bestaat uit: deelnemer aangemaakt → rechten overgenomen → mutatiehistorie geconverteerd → conversie bevestigd.</w:t>
      </w:r>
    </w:p>
    <w:p>
      <w:pPr>
        <w:pStyle w:val="ListParagraph"/>
        <w:numPr>
          <w:ilvl w:val="0"/>
          <w:numId w:val="2"/>
        </w:numPr>
        <w:spacing w:after="100"/>
      </w:pPr>
      <w:r>
        <w:rPr>
          <w:b/>
          <w:bCs/>
          <w:color w:val="1F2937"/>
          <w:sz w:val="22"/>
          <w:szCs w:val="22"/>
        </w:rPr>
        <w:t xml:space="preserve">a)</w:t>
      </w:r>
      <w:r>
        <w:rPr>
          <w:color w:val="1F2937"/>
          <w:sz w:val="22"/>
          <w:szCs w:val="22"/>
        </w:rPr>
        <w:t xml:space="preserve"> Ontwerp de saga. Welke stappen zijn lokale transacties, en in welke dienst leven zij?</w:t>
      </w:r>
    </w:p>
    <w:p>
      <w:pPr>
        <w:pStyle w:val="ListParagraph"/>
        <w:numPr>
          <w:ilvl w:val="0"/>
          <w:numId w:val="2"/>
        </w:numPr>
        <w:spacing w:after="100"/>
      </w:pPr>
      <w:r>
        <w:rPr>
          <w:b/>
          <w:bCs/>
          <w:color w:val="1F2937"/>
          <w:sz w:val="22"/>
          <w:szCs w:val="22"/>
        </w:rPr>
        <w:t xml:space="preserve">b)</w:t>
      </w:r>
      <w:r>
        <w:rPr>
          <w:color w:val="1F2937"/>
          <w:sz w:val="22"/>
          <w:szCs w:val="22"/>
        </w:rPr>
        <w:t xml:space="preserve"> Formuleer per stap de compenserende actie. Wees concreet: wat gebeurt er administratief?</w:t>
      </w:r>
    </w:p>
    <w:p>
      <w:pPr>
        <w:pStyle w:val="ListParagraph"/>
        <w:numPr>
          <w:ilvl w:val="0"/>
          <w:numId w:val="2"/>
        </w:numPr>
        <w:spacing w:after="100"/>
      </w:pPr>
      <w:r>
        <w:rPr>
          <w:b/>
          <w:bCs/>
          <w:color w:val="1F2937"/>
          <w:sz w:val="22"/>
          <w:szCs w:val="22"/>
        </w:rPr>
        <w:t xml:space="preserve">c)</w:t>
      </w:r>
      <w:r>
        <w:rPr>
          <w:color w:val="1F2937"/>
          <w:sz w:val="22"/>
          <w:szCs w:val="22"/>
        </w:rPr>
        <w:t xml:space="preserve"> Stap 2 is het lastigst. Wat betekent het om een overgenomen recht ongedaan te maken? Wie beantwoordt die vraag?</w:t>
      </w:r>
    </w:p>
    <w:p>
      <w:pPr>
        <w:pStyle w:val="ListParagraph"/>
        <w:numPr>
          <w:ilvl w:val="0"/>
          <w:numId w:val="2"/>
        </w:numPr>
        <w:spacing w:after="100"/>
      </w:pPr>
      <w:r>
        <w:rPr>
          <w:b/>
          <w:bCs/>
          <w:color w:val="1F2937"/>
          <w:sz w:val="22"/>
          <w:szCs w:val="22"/>
        </w:rPr>
        <w:t xml:space="preserve">d)</w:t>
      </w:r>
      <w:r>
        <w:rPr>
          <w:color w:val="1F2937"/>
          <w:sz w:val="22"/>
          <w:szCs w:val="22"/>
        </w:rPr>
        <w:t xml:space="preserve"> Kiest u orkestratie of choreografie? Motiveer met een argument dat niet technisch is.</w:t>
      </w:r>
    </w:p>
    <w:p>
      <w:pPr>
        <w:pStyle w:val="ListParagraph"/>
        <w:numPr>
          <w:ilvl w:val="0"/>
          <w:numId w:val="2"/>
        </w:numPr>
        <w:spacing w:after="100"/>
      </w:pPr>
      <w:r>
        <w:rPr>
          <w:b/>
          <w:bCs/>
          <w:color w:val="1F2937"/>
          <w:sz w:val="22"/>
          <w:szCs w:val="22"/>
        </w:rPr>
        <w:t xml:space="preserve">e)</w:t>
      </w:r>
      <w:r>
        <w:rPr>
          <w:color w:val="1F2937"/>
          <w:sz w:val="22"/>
          <w:szCs w:val="22"/>
        </w:rPr>
        <w:t xml:space="preserve"> Wat gebeurt er als de saga halverwege blijft hangen — bijvoorbeeld doordat stap 3 niet faalt maar ook niet slaagt? Welke maatregel uit deel 6 van niveau 1 is hier van toepassing?</w:t>
      </w:r>
    </w:p>
    <w:p>
      <w:pPr>
        <w:spacing w:after="160" w:line="276"/>
      </w:pPr>
      <w:r>
        <w:rPr>
          <w:color w:val="1F2937"/>
          <w:sz w:val="22"/>
          <w:szCs w:val="22"/>
        </w:rPr>
        <w:t xml:space="preserve">Onderdeel c) is de kern van de opdracht: een saga verplaatst een technisch probleem naar het domein.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13.4</w:t>
            </w:r>
          </w:p>
          <w:p>
            <w:pPr>
              <w:spacing w:after="80"/>
            </w:pPr>
          </w:p>
          <w:p>
            <w:pPr>
              <w:spacing w:after="120" w:line="276"/>
            </w:pPr>
            <w:r>
              <w:rPr>
                <w:b/>
                <w:bCs/>
                <w:color w:val="1F2937"/>
                <w:sz w:val="21"/>
                <w:szCs w:val="21"/>
              </w:rPr>
              <w:t xml:space="preserve">a/b) De saga met compensaties:</w:t>
            </w:r>
            <w:r>
              <w:rPr>
                <w:color w:val="1F2937"/>
                <w:sz w:val="21"/>
                <w:szCs w:val="21"/>
              </w:rPr>
              <w:t xml:space="preserve"/>
            </w:r>
          </w:p>
          <w:tbl>
            <w:tblPr>
              <w:tblW w:type="dxa" w:w="91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900"/>
              <w:gridCol w:w="2200"/>
              <w:gridCol w:w="4038"/>
            </w:tblGrid>
            <w:tr>
              <w:trPr>
                <w:tblHeader/>
              </w:trPr>
              <w:tc>
                <w:tcPr>
                  <w:tcW w:type="dxa" w:w="2900"/>
                  <w:shd w:fill="1F3A5F" w:val="clear"/>
                  <w:tcMar>
                    <w:top w:type="dxa" w:w="100"/>
                    <w:left w:type="dxa" w:w="120"/>
                    <w:bottom w:type="dxa" w:w="100"/>
                    <w:right w:type="dxa" w:w="120"/>
                  </w:tcMar>
                  <w:vAlign w:val="center"/>
                </w:tcPr>
                <w:p>
                  <w:r>
                    <w:rPr>
                      <w:b/>
                      <w:bCs/>
                      <w:color w:val="FFFFFF"/>
                      <w:sz w:val="19"/>
                      <w:szCs w:val="19"/>
                    </w:rPr>
                    <w:t xml:space="preserve">Stap</w:t>
                  </w:r>
                </w:p>
              </w:tc>
              <w:tc>
                <w:tcPr>
                  <w:tcW w:type="dxa" w:w="2200"/>
                  <w:shd w:fill="1F3A5F" w:val="clear"/>
                  <w:tcMar>
                    <w:top w:type="dxa" w:w="100"/>
                    <w:left w:type="dxa" w:w="120"/>
                    <w:bottom w:type="dxa" w:w="100"/>
                    <w:right w:type="dxa" w:w="120"/>
                  </w:tcMar>
                  <w:vAlign w:val="center"/>
                </w:tcPr>
                <w:p>
                  <w:r>
                    <w:rPr>
                      <w:b/>
                      <w:bCs/>
                      <w:color w:val="FFFFFF"/>
                      <w:sz w:val="19"/>
                      <w:szCs w:val="19"/>
                    </w:rPr>
                    <w:t xml:space="preserve">Dienst</w:t>
                  </w:r>
                </w:p>
              </w:tc>
              <w:tc>
                <w:tcPr>
                  <w:tcW w:type="dxa" w:w="4038"/>
                  <w:shd w:fill="1F3A5F" w:val="clear"/>
                  <w:tcMar>
                    <w:top w:type="dxa" w:w="100"/>
                    <w:left w:type="dxa" w:w="120"/>
                    <w:bottom w:type="dxa" w:w="100"/>
                    <w:right w:type="dxa" w:w="120"/>
                  </w:tcMar>
                  <w:vAlign w:val="center"/>
                </w:tcPr>
                <w:p>
                  <w:r>
                    <w:rPr>
                      <w:b/>
                      <w:bCs/>
                      <w:color w:val="FFFFFF"/>
                      <w:sz w:val="19"/>
                      <w:szCs w:val="19"/>
                    </w:rPr>
                    <w:t xml:space="preserve">Compensatie</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Deelnemer aangemaakt</w:t>
                  </w:r>
                </w:p>
              </w:tc>
              <w:tc>
                <w:tcPr>
                  <w:tcW w:type="dxa" w:w="2200"/>
                  <w:tcMar>
                    <w:top w:type="dxa" w:w="100"/>
                    <w:left w:type="dxa" w:w="120"/>
                    <w:bottom w:type="dxa" w:w="100"/>
                    <w:right w:type="dxa" w:w="120"/>
                  </w:tcMar>
                  <w:vAlign w:val="center"/>
                </w:tcPr>
                <w:p>
                  <w:r>
                    <w:rPr>
                      <w:b w:val="false"/>
                      <w:bCs w:val="false"/>
                      <w:color w:val="1F2937"/>
                      <w:sz w:val="19"/>
                      <w:szCs w:val="19"/>
                    </w:rPr>
                    <w:t xml:space="preserve">Deelnemersmodule</w:t>
                  </w:r>
                </w:p>
              </w:tc>
              <w:tc>
                <w:tcPr>
                  <w:tcW w:type="dxa" w:w="4038"/>
                  <w:tcMar>
                    <w:top w:type="dxa" w:w="100"/>
                    <w:left w:type="dxa" w:w="120"/>
                    <w:bottom w:type="dxa" w:w="100"/>
                    <w:right w:type="dxa" w:w="120"/>
                  </w:tcMar>
                  <w:vAlign w:val="center"/>
                </w:tcPr>
                <w:p>
                  <w:r>
                    <w:rPr>
                      <w:b w:val="false"/>
                      <w:bCs w:val="false"/>
                      <w:color w:val="1F2937"/>
                      <w:sz w:val="19"/>
                      <w:szCs w:val="19"/>
                    </w:rPr>
                    <w:t xml:space="preserve">Deelnemer markeren als niet-geconverteerd en blokkeren voor mutaties</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Rechten overgenomen</w:t>
                  </w:r>
                </w:p>
              </w:tc>
              <w:tc>
                <w:tcPr>
                  <w:tcW w:type="dxa" w:w="2200"/>
                  <w:tcMar>
                    <w:top w:type="dxa" w:w="100"/>
                    <w:left w:type="dxa" w:w="120"/>
                    <w:bottom w:type="dxa" w:w="100"/>
                    <w:right w:type="dxa" w:w="120"/>
                  </w:tcMar>
                  <w:vAlign w:val="center"/>
                </w:tcPr>
                <w:p>
                  <w:r>
                    <w:rPr>
                      <w:b w:val="false"/>
                      <w:bCs w:val="false"/>
                      <w:color w:val="1F2937"/>
                      <w:sz w:val="19"/>
                      <w:szCs w:val="19"/>
                    </w:rPr>
                    <w:t xml:space="preserve">Rechtenmodule</w:t>
                  </w:r>
                </w:p>
              </w:tc>
              <w:tc>
                <w:tcPr>
                  <w:tcW w:type="dxa" w:w="4038"/>
                  <w:tcMar>
                    <w:top w:type="dxa" w:w="100"/>
                    <w:left w:type="dxa" w:w="120"/>
                    <w:bottom w:type="dxa" w:w="100"/>
                    <w:right w:type="dxa" w:w="120"/>
                  </w:tcMar>
                  <w:vAlign w:val="center"/>
                </w:tcPr>
                <w:p>
                  <w:r>
                    <w:rPr>
                      <w:b w:val="false"/>
                      <w:bCs w:val="false"/>
                      <w:color w:val="1F2937"/>
                      <w:sz w:val="19"/>
                      <w:szCs w:val="19"/>
                    </w:rPr>
                    <w:t xml:space="preserve">Zie c)</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Mutatiehistorie geconverteerd</w:t>
                  </w:r>
                </w:p>
              </w:tc>
              <w:tc>
                <w:tcPr>
                  <w:tcW w:type="dxa" w:w="2200"/>
                  <w:tcMar>
                    <w:top w:type="dxa" w:w="100"/>
                    <w:left w:type="dxa" w:w="120"/>
                    <w:bottom w:type="dxa" w:w="100"/>
                    <w:right w:type="dxa" w:w="120"/>
                  </w:tcMar>
                  <w:vAlign w:val="center"/>
                </w:tcPr>
                <w:p>
                  <w:r>
                    <w:rPr>
                      <w:b w:val="false"/>
                      <w:bCs w:val="false"/>
                      <w:color w:val="1F2937"/>
                      <w:sz w:val="19"/>
                      <w:szCs w:val="19"/>
                    </w:rPr>
                    <w:t xml:space="preserve">Conversiedienst</w:t>
                  </w:r>
                </w:p>
              </w:tc>
              <w:tc>
                <w:tcPr>
                  <w:tcW w:type="dxa" w:w="4038"/>
                  <w:tcMar>
                    <w:top w:type="dxa" w:w="100"/>
                    <w:left w:type="dxa" w:w="120"/>
                    <w:bottom w:type="dxa" w:w="100"/>
                    <w:right w:type="dxa" w:w="120"/>
                  </w:tcMar>
                  <w:vAlign w:val="center"/>
                </w:tcPr>
                <w:p>
                  <w:r>
                    <w:rPr>
                      <w:b w:val="false"/>
                      <w:bCs w:val="false"/>
                      <w:color w:val="1F2937"/>
                      <w:sz w:val="19"/>
                      <w:szCs w:val="19"/>
                    </w:rPr>
                    <w:t xml:space="preserve">Geconverteerde historie markeren als ongeldig; niet verwijderen</w:t>
                  </w:r>
                </w:p>
              </w:tc>
            </w:tr>
            <w:tr>
              <w:trPr>
                <w:cantSplit/>
              </w:trPr>
              <w:tc>
                <w:tcPr>
                  <w:tcW w:type="dxa" w:w="2900"/>
                  <w:tcMar>
                    <w:top w:type="dxa" w:w="100"/>
                    <w:left w:type="dxa" w:w="120"/>
                    <w:bottom w:type="dxa" w:w="100"/>
                    <w:right w:type="dxa" w:w="120"/>
                  </w:tcMar>
                  <w:vAlign w:val="center"/>
                </w:tcPr>
                <w:p>
                  <w:r>
                    <w:rPr>
                      <w:b w:val="false"/>
                      <w:bCs w:val="false"/>
                      <w:color w:val="1F2937"/>
                      <w:sz w:val="19"/>
                      <w:szCs w:val="19"/>
                    </w:rPr>
                    <w:t xml:space="preserve">Conversie bevestigd</w:t>
                  </w:r>
                </w:p>
              </w:tc>
              <w:tc>
                <w:tcPr>
                  <w:tcW w:type="dxa" w:w="2200"/>
                  <w:tcMar>
                    <w:top w:type="dxa" w:w="100"/>
                    <w:left w:type="dxa" w:w="120"/>
                    <w:bottom w:type="dxa" w:w="100"/>
                    <w:right w:type="dxa" w:w="120"/>
                  </w:tcMar>
                  <w:vAlign w:val="center"/>
                </w:tcPr>
                <w:p>
                  <w:r>
                    <w:rPr>
                      <w:b w:val="false"/>
                      <w:bCs w:val="false"/>
                      <w:color w:val="1F2937"/>
                      <w:sz w:val="19"/>
                      <w:szCs w:val="19"/>
                    </w:rPr>
                    <w:t xml:space="preserve">Conversiedienst</w:t>
                  </w:r>
                </w:p>
              </w:tc>
              <w:tc>
                <w:tcPr>
                  <w:tcW w:type="dxa" w:w="4038"/>
                  <w:tcMar>
                    <w:top w:type="dxa" w:w="100"/>
                    <w:left w:type="dxa" w:w="120"/>
                    <w:bottom w:type="dxa" w:w="100"/>
                    <w:right w:type="dxa" w:w="120"/>
                  </w:tcMar>
                  <w:vAlign w:val="center"/>
                </w:tcPr>
                <w:p>
                  <w:r>
                    <w:rPr>
                      <w:b w:val="false"/>
                      <w:bCs w:val="false"/>
                      <w:color w:val="1F2937"/>
                      <w:sz w:val="19"/>
                      <w:szCs w:val="19"/>
                    </w:rPr>
                    <w:t xml:space="preserve">— (laatste stap)</w:t>
                  </w:r>
                </w:p>
              </w:tc>
            </w:tr>
          </w:tbl>
          <w:p>
            <w:pPr>
              <w:spacing w:after="100"/>
            </w:pPr>
          </w:p>
          <w:p>
            <w:pPr>
              <w:spacing w:after="120" w:line="276"/>
            </w:pPr>
            <w:r>
              <w:rPr>
                <w:b/>
                <w:bCs/>
                <w:color w:val="1F2937"/>
                <w:sz w:val="21"/>
                <w:szCs w:val="21"/>
              </w:rPr>
              <w:t xml:space="preserve">c) Stap 2 is de kern.</w:t>
            </w:r>
            <w:r>
              <w:rPr>
                <w:color w:val="1F2937"/>
                <w:sz w:val="21"/>
                <w:szCs w:val="21"/>
              </w:rPr>
              <w:t xml:space="preserve"> Wat betekent het om een overgenomen recht ongedaan te maken?</w:t>
            </w:r>
          </w:p>
          <w:p>
            <w:pPr>
              <w:spacing w:after="120" w:line="276"/>
            </w:pPr>
            <w:r>
              <w:rPr>
                <w:color w:val="1F2937"/>
                <w:sz w:val="21"/>
                <w:szCs w:val="21"/>
              </w:rPr>
              <w:t xml:space="preserve">Er zijn drie mogelijkheden, met verschillende gevolgen: het recht verwijderen (mag niet — de gebeurtenis heeft plaatsgevonden), het recht op nul zetten (misleidend — het lijkt alsof er geen recht was), of een expliciete tegenboeking maken met reden en tijdstip (correct — de historie blijft kloppen).</w:t>
            </w:r>
          </w:p>
          <w:p>
            <w:pPr>
              <w:spacing w:after="120" w:line="276"/>
            </w:pPr>
            <w:r>
              <w:rPr>
                <w:b/>
                <w:bCs/>
                <w:color w:val="1F2937"/>
                <w:sz w:val="21"/>
                <w:szCs w:val="21"/>
              </w:rPr>
              <w:t xml:space="preserve">De derde is de juiste, en die keuze maakt de actuaris, niet de architect.</w:t>
            </w:r>
            <w:r>
              <w:rPr>
                <w:color w:val="1F2937"/>
                <w:sz w:val="21"/>
                <w:szCs w:val="21"/>
              </w:rPr>
              <w:t xml:space="preserve"> Bij een pensioenrecht is "ongedaan maken" geen technische handeling maar een administratieve gebeurtenis met eigen betekenis en eigen verantwoording richting toezicht.</w:t>
            </w:r>
          </w:p>
          <w:p>
            <w:pPr>
              <w:spacing w:after="120" w:line="276"/>
            </w:pPr>
            <w:r>
              <w:rPr>
                <w:color w:val="1F2937"/>
                <w:sz w:val="21"/>
                <w:szCs w:val="21"/>
              </w:rPr>
              <w:t xml:space="preserve">Dit is waarom sagas duur zijn: elke compensatie is een domeinvraag die iemand moet beantwoorden, en het antwoord is zelden "gewoon terugdraaien".</w:t>
            </w:r>
          </w:p>
          <w:p>
            <w:pPr>
              <w:spacing w:after="120" w:line="276"/>
            </w:pPr>
            <w:r>
              <w:rPr>
                <w:b/>
                <w:bCs/>
                <w:color w:val="1F2937"/>
                <w:sz w:val="21"/>
                <w:szCs w:val="21"/>
              </w:rPr>
              <w:t xml:space="preserve">d) </w:t>
            </w:r>
            <w:r>
              <w:rPr>
                <w:color w:val="1F2937"/>
                <w:sz w:val="21"/>
                <w:szCs w:val="21"/>
              </w:rPr>
              <w:t xml:space="preserve">Orkestratie, en het argument is niet technisch: de conversie moet aantoonbaar zijn richting toezichthouder, en een proces dat nergens beschreven staat is niet aantoonbaar. Dat is hetzelfde argument als in deel 5 van niveau 1.</w:t>
            </w:r>
          </w:p>
          <w:p>
            <w:pPr>
              <w:spacing w:after="120" w:line="276"/>
            </w:pPr>
            <w:r>
              <w:rPr>
                <w:b/>
                <w:bCs/>
                <w:color w:val="1F2937"/>
                <w:sz w:val="21"/>
                <w:szCs w:val="21"/>
              </w:rPr>
              <w:t xml:space="preserve">e) </w:t>
            </w:r>
            <w:r>
              <w:rPr>
                <w:color w:val="1F2937"/>
                <w:sz w:val="21"/>
                <w:szCs w:val="21"/>
              </w:rPr>
              <w:t xml:space="preserve">Een saga die blijft hangen zonder te falen, is de stille stilstand uit deel 6 van niveau 1. De maatregel is bewaking op uitblijvende gebeurtenissen: als stap 3 na X minuten geen resultaat heeft opgeleverd, wordt dat zichtbaar. Zonder die bewaking blijven conversies onopgemerkt half af — bij 60.000 deelnemers is dat niet handmatig terug te vinden.</w:t>
            </w:r>
          </w:p>
        </w:tc>
      </w:tr>
    </w:tbl>
    <w:p>
      <w:pPr>
        <w:spacing w:after="300"/>
      </w:pPr>
    </w:p>
    <w:p>
      <w:pPr>
        <w:pStyle w:val="Heading1"/>
        <w:pBdr>
          <w:bottom w:val="single" w:color="E5E7EB" w:sz="6" w:space="6"/>
        </w:pBdr>
        <w:spacing w:after="180" w:before="380"/>
      </w:pPr>
      <w:r>
        <w:rPr>
          <w:b/>
          <w:bCs/>
          <w:color w:val="1F3A5F"/>
          <w:sz w:val="30"/>
          <w:szCs w:val="30"/>
        </w:rPr>
        <w:t xml:space="preserve">Opdracht 13.5 — Outbox en idempotentie (individueel, 20 minuten)</w:t>
      </w:r>
    </w:p>
    <w:p>
      <w:pPr>
        <w:pStyle w:val="ListParagraph"/>
        <w:numPr>
          <w:ilvl w:val="0"/>
          <w:numId w:val="2"/>
        </w:numPr>
        <w:spacing w:after="100"/>
      </w:pPr>
      <w:r>
        <w:rPr>
          <w:b/>
          <w:bCs/>
          <w:color w:val="1F2937"/>
          <w:sz w:val="22"/>
          <w:szCs w:val="22"/>
        </w:rPr>
        <w:t xml:space="preserve">a)</w:t>
      </w:r>
      <w:r>
        <w:rPr>
          <w:color w:val="1F2937"/>
          <w:sz w:val="22"/>
          <w:szCs w:val="22"/>
        </w:rPr>
        <w:t xml:space="preserve"> Beschrijf in eigen woorden wat er misgaat zonder outbox, aan de hand van een concreet scenario met de gebeurtenis mutatie afgerond.</w:t>
      </w:r>
    </w:p>
    <w:p>
      <w:pPr>
        <w:pStyle w:val="ListParagraph"/>
        <w:numPr>
          <w:ilvl w:val="0"/>
          <w:numId w:val="2"/>
        </w:numPr>
        <w:spacing w:after="100"/>
      </w:pPr>
      <w:r>
        <w:rPr>
          <w:b/>
          <w:bCs/>
          <w:color w:val="1F2937"/>
          <w:sz w:val="22"/>
          <w:szCs w:val="22"/>
        </w:rPr>
        <w:t xml:space="preserve">b)</w:t>
      </w:r>
      <w:r>
        <w:rPr>
          <w:color w:val="1F2937"/>
          <w:sz w:val="22"/>
          <w:szCs w:val="22"/>
        </w:rPr>
        <w:t xml:space="preserve"> Waarom lost een transactie over database én berichtenvoorziening dit niet op? Noem twee redenen.</w:t>
      </w:r>
    </w:p>
    <w:p>
      <w:pPr>
        <w:pStyle w:val="ListParagraph"/>
        <w:numPr>
          <w:ilvl w:val="0"/>
          <w:numId w:val="2"/>
        </w:numPr>
        <w:spacing w:after="100"/>
      </w:pPr>
      <w:r>
        <w:rPr>
          <w:b/>
          <w:bCs/>
          <w:color w:val="1F2937"/>
          <w:sz w:val="22"/>
          <w:szCs w:val="22"/>
        </w:rPr>
        <w:t xml:space="preserve">c)</w:t>
      </w:r>
      <w:r>
        <w:rPr>
          <w:color w:val="1F2937"/>
          <w:sz w:val="22"/>
          <w:szCs w:val="22"/>
        </w:rPr>
        <w:t xml:space="preserve"> De outbox garandeert minstens-één-keer-bezorging. Beschrijf voor drie ontvangers hoe zij idempotent worden:</w:t>
      </w:r>
    </w:p>
    <w:p>
      <w:pPr>
        <w:pStyle w:val="ListParagraph"/>
        <w:numPr>
          <w:ilvl w:val="0"/>
          <w:numId w:val="4"/>
        </w:numPr>
        <w:spacing w:after="120"/>
      </w:pPr>
      <w:r>
        <w:rPr>
          <w:color w:val="1F2937"/>
          <w:sz w:val="22"/>
          <w:szCs w:val="22"/>
        </w:rPr>
        <w:t xml:space="preserve">de module die het leesmodel bijwerkt;</w:t>
      </w:r>
    </w:p>
    <w:p>
      <w:pPr>
        <w:pStyle w:val="ListParagraph"/>
        <w:numPr>
          <w:ilvl w:val="0"/>
          <w:numId w:val="4"/>
        </w:numPr>
        <w:spacing w:after="120"/>
      </w:pPr>
      <w:r>
        <w:rPr>
          <w:color w:val="1F2937"/>
          <w:sz w:val="22"/>
          <w:szCs w:val="22"/>
        </w:rPr>
        <w:t xml:space="preserve">de module die een bevestigingsbericht naar de deelnemer stuurt;</w:t>
      </w:r>
    </w:p>
    <w:p>
      <w:pPr>
        <w:pStyle w:val="ListParagraph"/>
        <w:numPr>
          <w:ilvl w:val="0"/>
          <w:numId w:val="4"/>
        </w:numPr>
        <w:spacing w:after="120"/>
      </w:pPr>
      <w:r>
        <w:rPr>
          <w:color w:val="1F2937"/>
          <w:sz w:val="22"/>
          <w:szCs w:val="22"/>
        </w:rPr>
        <w:t xml:space="preserve">de kernadministratie-integratie.</w:t>
      </w:r>
    </w:p>
    <w:p>
      <w:pPr>
        <w:pStyle w:val="ListParagraph"/>
        <w:numPr>
          <w:ilvl w:val="0"/>
          <w:numId w:val="2"/>
        </w:numPr>
        <w:spacing w:after="100"/>
      </w:pPr>
      <w:r>
        <w:rPr>
          <w:b/>
          <w:bCs/>
          <w:color w:val="1F2937"/>
          <w:sz w:val="22"/>
          <w:szCs w:val="22"/>
        </w:rPr>
        <w:t xml:space="preserve">d)</w:t>
      </w:r>
      <w:r>
        <w:rPr>
          <w:color w:val="1F2937"/>
          <w:sz w:val="22"/>
          <w:szCs w:val="22"/>
        </w:rPr>
        <w:t xml:space="preserve"> Ontvanger 2 is het lastigst. Waarom, en wat is uw oplossing?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13.5</w:t>
            </w:r>
          </w:p>
          <w:p>
            <w:pPr>
              <w:spacing w:after="80"/>
            </w:pPr>
          </w:p>
          <w:p>
            <w:pPr>
              <w:spacing w:after="120" w:line="276"/>
            </w:pPr>
            <w:r>
              <w:rPr>
                <w:b/>
                <w:bCs/>
                <w:color w:val="1F2937"/>
                <w:sz w:val="21"/>
                <w:szCs w:val="21"/>
              </w:rPr>
              <w:t xml:space="preserve">a) </w:t>
            </w:r>
            <w:r>
              <w:rPr>
                <w:color w:val="1F2937"/>
                <w:sz w:val="21"/>
                <w:szCs w:val="21"/>
              </w:rPr>
              <w:t xml:space="preserve">Scenario: de mutatie wordt afgerond, de database bevestigt, en het publiceren van mutatie afgerond faalt door een netwerkstoring. Gevolg: de mutatie is afgerond, maar het leesmodel wordt niet bijgewerkt, de deelnemer krijgt geen bevestiging, en de kernadministratie krijgt niets. Er is geen fout gemeld — de handeling slaagde immers.</w:t>
            </w:r>
          </w:p>
          <w:p>
            <w:pPr>
              <w:spacing w:after="120" w:line="276"/>
            </w:pPr>
            <w:r>
              <w:rPr>
                <w:b/>
                <w:bCs/>
                <w:color w:val="1F2937"/>
                <w:sz w:val="21"/>
                <w:szCs w:val="21"/>
              </w:rPr>
              <w:t xml:space="preserve">b) Waarom een gedeelde transactie dit niet oplost: </w:t>
            </w:r>
            <w:r>
              <w:rPr>
                <w:color w:val="1F2937"/>
                <w:sz w:val="21"/>
                <w:szCs w:val="21"/>
              </w:rPr>
              <w:t xml:space="preserve">(1) een database en een berichtenvoorziening zijn twee systemen; een gedeelde transactie daarover vereist een gedistribueerd transactieprotocol dat traag, complex en vaak niet ondersteund is; (2) ook mét zo'n protocol verschuift het probleem naar het coördinatiepunt in plaats van te verdwijnen.</w:t>
            </w:r>
          </w:p>
          <w:p>
            <w:pPr>
              <w:spacing w:after="120" w:line="276"/>
            </w:pPr>
            <w:r>
              <w:rPr>
                <w:b/>
                <w:bCs/>
                <w:color w:val="1F2937"/>
                <w:sz w:val="21"/>
                <w:szCs w:val="21"/>
              </w:rPr>
              <w:t xml:space="preserve">c) Idempotentie per ontvanger:</w:t>
            </w:r>
            <w:r>
              <w:rPr>
                <w:color w:val="1F2937"/>
                <w:sz w:val="21"/>
                <w:szCs w:val="21"/>
              </w:rPr>
              <w:t xml:space="preserve"/>
            </w:r>
          </w:p>
          <w:p>
            <w:pPr>
              <w:pStyle w:val="ListParagraph"/>
              <w:numPr>
                <w:ilvl w:val="0"/>
                <w:numId w:val="5"/>
              </w:numPr>
              <w:spacing w:after="120"/>
            </w:pPr>
            <w:r>
              <w:rPr>
                <w:b/>
                <w:bCs/>
                <w:color w:val="1F2937"/>
                <w:sz w:val="22"/>
                <w:szCs w:val="22"/>
              </w:rPr>
              <w:t xml:space="preserve">Leesmodel</w:t>
            </w:r>
            <w:r>
              <w:rPr>
                <w:color w:val="1F2937"/>
                <w:sz w:val="22"/>
                <w:szCs w:val="22"/>
              </w:rPr>
              <w:t xml:space="preserve"> — makkelijk: het bijwerken is naar zijn aard herhaalbaar (dezelfde eindtoestand). Eventueel met een volgnummer om oudere gebeurtenissen te negeren.</w:t>
            </w:r>
          </w:p>
          <w:p>
            <w:pPr>
              <w:pStyle w:val="ListParagraph"/>
              <w:numPr>
                <w:ilvl w:val="0"/>
                <w:numId w:val="5"/>
              </w:numPr>
              <w:spacing w:after="120"/>
            </w:pPr>
            <w:r>
              <w:rPr>
                <w:b/>
                <w:bCs/>
                <w:color w:val="1F2937"/>
                <w:sz w:val="22"/>
                <w:szCs w:val="22"/>
              </w:rPr>
              <w:t xml:space="preserve">Bevestigingsbericht</w:t>
            </w:r>
            <w:r>
              <w:rPr>
                <w:color w:val="1F2937"/>
                <w:sz w:val="22"/>
                <w:szCs w:val="22"/>
              </w:rPr>
              <w:t xml:space="preserve"> — moeilijk, zie d).</w:t>
            </w:r>
          </w:p>
          <w:p>
            <w:pPr>
              <w:pStyle w:val="ListParagraph"/>
              <w:numPr>
                <w:ilvl w:val="0"/>
                <w:numId w:val="5"/>
              </w:numPr>
              <w:spacing w:after="120"/>
            </w:pPr>
            <w:r>
              <w:rPr>
                <w:b/>
                <w:bCs/>
                <w:color w:val="1F2937"/>
                <w:sz w:val="22"/>
                <w:szCs w:val="22"/>
              </w:rPr>
              <w:t xml:space="preserve">Kernadministratie-integratie</w:t>
            </w:r>
            <w:r>
              <w:rPr>
                <w:color w:val="1F2937"/>
                <w:sz w:val="22"/>
                <w:szCs w:val="22"/>
              </w:rPr>
              <w:t xml:space="preserve"> — met een verwerkte-gebeurtenissenregistratie op mutatie-identificatie; dat was al de eis "uiteindelijk precies één keer doorgegeven" uit deel 3 van niveau 1.</w:t>
            </w:r>
          </w:p>
          <w:p>
            <w:pPr>
              <w:spacing w:after="120" w:line="276"/>
            </w:pPr>
            <w:r>
              <w:rPr>
                <w:b/>
                <w:bCs/>
                <w:color w:val="1F2937"/>
                <w:sz w:val="21"/>
                <w:szCs w:val="21"/>
              </w:rPr>
              <w:t xml:space="preserve">d) Waarom ontvanger 2 het lastigst is: </w:t>
            </w:r>
            <w:r>
              <w:rPr>
                <w:color w:val="1F2937"/>
                <w:sz w:val="21"/>
                <w:szCs w:val="21"/>
              </w:rPr>
              <w:t xml:space="preserve">een e-mail of brief is niet terug te nemen. Twee keer verwerken betekent twee berichten aan de deelnemer, en dat is zichtbare schade — niet alleen een technische onvolkomenheid.</w:t>
            </w:r>
          </w:p>
          <w:p>
            <w:pPr>
              <w:spacing w:after="120" w:line="276"/>
            </w:pPr>
            <w:r>
              <w:rPr>
                <w:color w:val="1F2937"/>
                <w:sz w:val="21"/>
                <w:szCs w:val="21"/>
              </w:rPr>
              <w:t xml:space="preserve">De oplossing is een verzendregistratie die vóór het verzenden wordt vastgelegd, met de gebeurtenisidentificatie als sleutel: is er al een bericht voor deze gebeurtenis, dan wordt er niet nogmaals verzonden. Dat verschuift het risico van dubbel verzenden naar het risico van niet verzenden bij een storing tussen registratie en verzending — en dat tweede is met bewaking op te vangen, het eerste niet.</w:t>
            </w:r>
          </w:p>
          <w:p>
            <w:pPr>
              <w:spacing w:after="120" w:line="276"/>
            </w:pPr>
            <w:r>
              <w:rPr>
                <w:b/>
                <w:bCs/>
                <w:color w:val="1F2937"/>
                <w:sz w:val="21"/>
                <w:szCs w:val="21"/>
              </w:rPr>
              <w:t xml:space="preserve">Dat is een goede illustratie van de aard van dit werk: </w:t>
            </w:r>
            <w:r>
              <w:rPr>
                <w:color w:val="1F2937"/>
                <w:sz w:val="21"/>
                <w:szCs w:val="21"/>
              </w:rPr>
              <w:t xml:space="preserve">u ruilt een onherstelbaar risico in voor een herstelbaar.</w:t>
            </w:r>
          </w:p>
        </w:tc>
      </w:tr>
    </w:tbl>
    <w:p>
      <w:pPr>
        <w:spacing w:after="300"/>
      </w:pPr>
    </w:p>
    <w:p>
      <w:pPr>
        <w:pStyle w:val="Heading1"/>
        <w:pBdr>
          <w:bottom w:val="single" w:color="E5E7EB" w:sz="6" w:space="6"/>
        </w:pBdr>
        <w:spacing w:after="180" w:before="380"/>
      </w:pPr>
      <w:r>
        <w:rPr>
          <w:b/>
          <w:bCs/>
          <w:color w:val="1F3A5F"/>
          <w:sz w:val="30"/>
          <w:szCs w:val="30"/>
        </w:rPr>
        <w:t xml:space="preserve">Opdracht 13.6 — Koppelvlakversiebeheer (groepen van vier, 25 minuten)</w:t>
      </w:r>
    </w:p>
    <w:p>
      <w:pPr>
        <w:spacing w:after="160" w:line="276"/>
      </w:pPr>
      <w:r>
        <w:rPr>
          <w:color w:val="1F2937"/>
          <w:sz w:val="22"/>
          <w:szCs w:val="22"/>
        </w:rPr>
        <w:t xml:space="preserve">Bijlage AK bevat het aanleverformaat voor werkgevers, versie 1.3, met elf afnemende systemen.</w:t>
      </w:r>
    </w:p>
    <w:p>
      <w:pPr>
        <w:pStyle w:val="ListParagraph"/>
        <w:numPr>
          <w:ilvl w:val="0"/>
          <w:numId w:val="2"/>
        </w:numPr>
        <w:spacing w:after="100"/>
      </w:pPr>
      <w:r>
        <w:rPr>
          <w:b/>
          <w:bCs/>
          <w:color w:val="1F2937"/>
          <w:sz w:val="22"/>
          <w:szCs w:val="22"/>
        </w:rPr>
        <w:t xml:space="preserve">a)</w:t>
      </w:r>
      <w:r>
        <w:rPr>
          <w:color w:val="1F2937"/>
          <w:sz w:val="22"/>
          <w:szCs w:val="22"/>
        </w:rPr>
        <w:t xml:space="preserve"> De conversie vraagt een nieuw veld in het aanleverformaat. Kunt u dat toevoegen zonder de elf systemen te breken? Onder welke voorwaarde?</w:t>
      </w:r>
    </w:p>
    <w:p>
      <w:pPr>
        <w:pStyle w:val="ListParagraph"/>
        <w:numPr>
          <w:ilvl w:val="0"/>
          <w:numId w:val="2"/>
        </w:numPr>
        <w:spacing w:after="100"/>
      </w:pPr>
      <w:r>
        <w:rPr>
          <w:b/>
          <w:bCs/>
          <w:color w:val="1F2937"/>
          <w:sz w:val="22"/>
          <w:szCs w:val="22"/>
        </w:rPr>
        <w:t xml:space="preserve">b)</w:t>
      </w:r>
      <w:r>
        <w:rPr>
          <w:color w:val="1F2937"/>
          <w:sz w:val="22"/>
          <w:szCs w:val="22"/>
        </w:rPr>
        <w:t xml:space="preserve"> Een veld moet worden hernoemd omdat het misleidend blijkt. Beschrijf het volledige verloop, met termijnen.</w:t>
      </w:r>
    </w:p>
    <w:p>
      <w:pPr>
        <w:pStyle w:val="ListParagraph"/>
        <w:numPr>
          <w:ilvl w:val="0"/>
          <w:numId w:val="2"/>
        </w:numPr>
        <w:spacing w:after="100"/>
      </w:pPr>
      <w:r>
        <w:rPr>
          <w:b/>
          <w:bCs/>
          <w:color w:val="1F2937"/>
          <w:sz w:val="22"/>
          <w:szCs w:val="22"/>
        </w:rPr>
        <w:t xml:space="preserve">c)</w:t>
      </w:r>
      <w:r>
        <w:rPr>
          <w:color w:val="1F2937"/>
          <w:sz w:val="22"/>
          <w:szCs w:val="22"/>
        </w:rPr>
        <w:t xml:space="preserve"> Twee werkgevers hebben hun systeem in vier jaar niet aangepast. Wat betekent dat voor uw versiebeleid?</w:t>
      </w:r>
    </w:p>
    <w:p>
      <w:pPr>
        <w:pStyle w:val="ListParagraph"/>
        <w:numPr>
          <w:ilvl w:val="0"/>
          <w:numId w:val="2"/>
        </w:numPr>
        <w:spacing w:after="100"/>
      </w:pPr>
      <w:r>
        <w:rPr>
          <w:b/>
          <w:bCs/>
          <w:color w:val="1F2937"/>
          <w:sz w:val="22"/>
          <w:szCs w:val="22"/>
        </w:rPr>
        <w:t xml:space="preserve">d)</w:t>
      </w:r>
      <w:r>
        <w:rPr>
          <w:color w:val="1F2937"/>
          <w:sz w:val="22"/>
          <w:szCs w:val="22"/>
        </w:rPr>
        <w:t xml:space="preserve"> Formuleer de drie regels die u vastlegt in een ADR over koppelvlakversiebeheer.</w:t>
      </w:r>
    </w:p>
    <w:p>
      <w:pPr>
        <w:pStyle w:val="ListParagraph"/>
        <w:numPr>
          <w:ilvl w:val="0"/>
          <w:numId w:val="2"/>
        </w:numPr>
        <w:spacing w:after="100"/>
      </w:pPr>
      <w:r>
        <w:rPr>
          <w:b/>
          <w:bCs/>
          <w:color w:val="1F2937"/>
          <w:sz w:val="22"/>
          <w:szCs w:val="22"/>
        </w:rPr>
        <w:t xml:space="preserve">e)</w:t>
      </w:r>
      <w:r>
        <w:rPr>
          <w:color w:val="1F2937"/>
          <w:sz w:val="22"/>
          <w:szCs w:val="22"/>
        </w:rPr>
        <w:t xml:space="preserve"> Verbind met deel 11. Welk contextpatroon is hier van toepassing, en wat zegt dat over wie zich aan wie aanpast?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13.6</w:t>
            </w:r>
          </w:p>
          <w:p>
            <w:pPr>
              <w:spacing w:after="80"/>
            </w:pPr>
          </w:p>
          <w:p>
            <w:pPr>
              <w:spacing w:after="120" w:line="276"/>
            </w:pPr>
            <w:r>
              <w:rPr>
                <w:b/>
                <w:bCs/>
                <w:color w:val="1F2937"/>
                <w:sz w:val="21"/>
                <w:szCs w:val="21"/>
              </w:rPr>
              <w:t xml:space="preserve">a) </w:t>
            </w:r>
            <w:r>
              <w:rPr>
                <w:color w:val="1F2937"/>
                <w:sz w:val="21"/>
                <w:szCs w:val="21"/>
              </w:rPr>
              <w:t xml:space="preserve">Een veld toevoegen kan zonder te breken, mits de elf systemen onbekende velden negeren en het veld optioneel is. Of zij dat doen, moet u weten en niet aannemen — en dat is precies het soort aanname dat in deel 2 van niveau 1 als randvoorwaarde werd behandeld terwijl niemand het had geverifieerd.</w:t>
            </w:r>
          </w:p>
          <w:p>
            <w:pPr>
              <w:spacing w:after="120" w:line="276"/>
            </w:pPr>
            <w:r>
              <w:rPr>
                <w:b/>
                <w:bCs/>
                <w:color w:val="1F2937"/>
                <w:sz w:val="21"/>
                <w:szCs w:val="21"/>
              </w:rPr>
              <w:t xml:space="preserve">b) Het verloop bij hernoemen: </w:t>
            </w:r>
            <w:r>
              <w:rPr>
                <w:color w:val="1F2937"/>
                <w:sz w:val="21"/>
                <w:szCs w:val="21"/>
              </w:rPr>
              <w:t xml:space="preserve">nieuwe naam toevoegen naast de oude; beide accepteren; werkgevers informeren met een termijn (in deze sector realistisch: twaalf tot achttien maanden); monitoren wie de oude nog gebruikt; oude naam pas verwijderen als het gebruik nul is óf de termijn is verstreken én er expliciet is besloten de achterblijvers te breken.</w:t>
            </w:r>
          </w:p>
          <w:p>
            <w:pPr>
              <w:spacing w:after="120" w:line="276"/>
            </w:pPr>
            <w:r>
              <w:rPr>
                <w:b/>
                <w:bCs/>
                <w:color w:val="1F2937"/>
                <w:sz w:val="21"/>
                <w:szCs w:val="21"/>
              </w:rPr>
              <w:t xml:space="preserve">c) </w:t>
            </w:r>
            <w:r>
              <w:rPr>
                <w:color w:val="1F2937"/>
                <w:sz w:val="21"/>
                <w:szCs w:val="21"/>
              </w:rPr>
              <w:t xml:space="preserve">Twee werkgevers die vier jaar niet hebben aangepast, betekenen dat uw effectieve migratietermijn niet door uw planning wordt bepaald maar door de traagste afnemer. Uw versiebeleid moet daarom rekenen met afnemers die nooit meebewegen — met als praktische consequentie dat u óf oneindig compatibel blijft, óf een moment afspreekt waarop ondersteuning vervalt en dat contractueel vastlegt.</w:t>
            </w:r>
          </w:p>
          <w:p>
            <w:pPr>
              <w:spacing w:after="120" w:line="276"/>
            </w:pPr>
            <w:r>
              <w:rPr>
                <w:b/>
                <w:bCs/>
                <w:color w:val="1F2937"/>
                <w:sz w:val="21"/>
                <w:szCs w:val="21"/>
              </w:rPr>
              <w:t xml:space="preserve">e) </w:t>
            </w:r>
            <w:r>
              <w:rPr>
                <w:color w:val="1F2937"/>
                <w:sz w:val="21"/>
                <w:szCs w:val="21"/>
              </w:rPr>
              <w:t xml:space="preserve">Het patroon is open host service met published language (deel 11). Dat betekent: u publiceert en zij conformeren zich — maar zodra elf systemen zich hebben geconformeerd, is de machtsverhouding feitelijk omgekeerd. Dat is de prijs van standaardisatie en zij hoort in de ADR.</w:t>
            </w:r>
          </w:p>
        </w:tc>
      </w:tr>
    </w:tbl>
    <w:p>
      <w:pPr>
        <w:spacing w:after="300"/>
      </w:pPr>
    </w:p>
    <w:p>
      <w:pPr>
        <w:pStyle w:val="Heading1"/>
        <w:pBdr>
          <w:bottom w:val="single" w:color="E5E7EB" w:sz="6" w:space="6"/>
        </w:pBdr>
        <w:spacing w:after="180" w:before="380"/>
      </w:pPr>
      <w:r>
        <w:rPr>
          <w:b/>
          <w:bCs/>
          <w:color w:val="1F3A5F"/>
          <w:sz w:val="30"/>
          <w:szCs w:val="30"/>
        </w:rPr>
        <w:t xml:space="preserve">Opdracht 13.7 — De splitsing plannen (duo's, 25 minuten)</w:t>
      </w:r>
    </w:p>
    <w:p>
      <w:pPr>
        <w:spacing w:after="160" w:line="276"/>
      </w:pPr>
      <w:r>
        <w:rPr>
          <w:color w:val="1F2937"/>
          <w:sz w:val="22"/>
          <w:szCs w:val="22"/>
        </w:rPr>
        <w:t xml:space="preserve">Werk het strangler-traject uit voor de conversiedienst.</w:t>
      </w:r>
    </w:p>
    <w:p>
      <w:pPr>
        <w:pStyle w:val="ListParagraph"/>
        <w:numPr>
          <w:ilvl w:val="0"/>
          <w:numId w:val="2"/>
        </w:numPr>
        <w:spacing w:after="100"/>
      </w:pPr>
      <w:r>
        <w:rPr>
          <w:b/>
          <w:bCs/>
          <w:color w:val="1F2937"/>
          <w:sz w:val="22"/>
          <w:szCs w:val="22"/>
        </w:rPr>
        <w:t xml:space="preserve">a)</w:t>
      </w:r>
      <w:r>
        <w:rPr>
          <w:color w:val="1F2937"/>
          <w:sz w:val="22"/>
          <w:szCs w:val="22"/>
        </w:rPr>
        <w:t xml:space="preserve"> Waar plaatst u het doorgeefpunt?</w:t>
      </w:r>
    </w:p>
    <w:p>
      <w:pPr>
        <w:pStyle w:val="ListParagraph"/>
        <w:numPr>
          <w:ilvl w:val="0"/>
          <w:numId w:val="2"/>
        </w:numPr>
        <w:spacing w:after="100"/>
      </w:pPr>
      <w:r>
        <w:rPr>
          <w:b/>
          <w:bCs/>
          <w:color w:val="1F2937"/>
          <w:sz w:val="22"/>
          <w:szCs w:val="22"/>
        </w:rPr>
        <w:t xml:space="preserve">b)</w:t>
      </w:r>
      <w:r>
        <w:rPr>
          <w:color w:val="1F2937"/>
          <w:sz w:val="22"/>
          <w:szCs w:val="22"/>
        </w:rPr>
        <w:t xml:space="preserve"> Welk deel van het verkeer verlegt u eerst, en waarom dat deel?</w:t>
      </w:r>
    </w:p>
    <w:p>
      <w:pPr>
        <w:pStyle w:val="ListParagraph"/>
        <w:numPr>
          <w:ilvl w:val="0"/>
          <w:numId w:val="2"/>
        </w:numPr>
        <w:spacing w:after="100"/>
      </w:pPr>
      <w:r>
        <w:rPr>
          <w:b/>
          <w:bCs/>
          <w:color w:val="1F2937"/>
          <w:sz w:val="22"/>
          <w:szCs w:val="22"/>
        </w:rPr>
        <w:t xml:space="preserve">c)</w:t>
      </w:r>
      <w:r>
        <w:rPr>
          <w:color w:val="1F2937"/>
          <w:sz w:val="22"/>
          <w:szCs w:val="22"/>
        </w:rPr>
        <w:t xml:space="preserve"> Wat meet u, en hoe weet u dat de splitsing heeft opgeleverd wat zij beloofde? Formuleer het als scenario met responsmaat.</w:t>
      </w:r>
    </w:p>
    <w:p>
      <w:pPr>
        <w:pStyle w:val="ListParagraph"/>
        <w:numPr>
          <w:ilvl w:val="0"/>
          <w:numId w:val="2"/>
        </w:numPr>
        <w:spacing w:after="100"/>
      </w:pPr>
      <w:r>
        <w:rPr>
          <w:b/>
          <w:bCs/>
          <w:color w:val="1F2937"/>
          <w:sz w:val="22"/>
          <w:szCs w:val="22"/>
        </w:rPr>
        <w:t xml:space="preserve">d)</w:t>
      </w:r>
      <w:r>
        <w:rPr>
          <w:color w:val="1F2937"/>
          <w:sz w:val="22"/>
          <w:szCs w:val="22"/>
        </w:rPr>
        <w:t xml:space="preserve"> Wanneer verwijdert u de oude module? Wie is eigenaar van die stap en wat is de termijn?</w:t>
      </w:r>
    </w:p>
    <w:p>
      <w:pPr>
        <w:pStyle w:val="ListParagraph"/>
        <w:numPr>
          <w:ilvl w:val="0"/>
          <w:numId w:val="2"/>
        </w:numPr>
        <w:spacing w:after="100"/>
      </w:pPr>
      <w:r>
        <w:rPr>
          <w:b/>
          <w:bCs/>
          <w:color w:val="1F2937"/>
          <w:sz w:val="22"/>
          <w:szCs w:val="22"/>
        </w:rPr>
        <w:t xml:space="preserve">e)</w:t>
      </w:r>
      <w:r>
        <w:rPr>
          <w:color w:val="1F2937"/>
          <w:sz w:val="22"/>
          <w:szCs w:val="22"/>
        </w:rPr>
        <w:t xml:space="preserve"> Wat doet u als de meting bij c) tegenvalt?</w:t>
      </w:r>
    </w:p>
    <w:p>
      <w:pPr>
        <w:spacing w:after="160" w:line="276"/>
      </w:pPr>
      <w:r>
        <w:rPr>
          <w:color w:val="1F2937"/>
          <w:sz w:val="22"/>
          <w:szCs w:val="22"/>
        </w:rPr>
        <w:t xml:space="preserve">Onderdeel e) wordt zelden beantwoord en is de belangrijkste vraag van de opdracht.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13.7</w:t>
            </w:r>
          </w:p>
          <w:p>
            <w:pPr>
              <w:spacing w:after="80"/>
            </w:pPr>
          </w:p>
          <w:p>
            <w:pPr>
              <w:spacing w:after="120" w:line="276"/>
            </w:pPr>
            <w:r>
              <w:rPr>
                <w:b/>
                <w:bCs/>
                <w:color w:val="1F2937"/>
                <w:sz w:val="21"/>
                <w:szCs w:val="21"/>
              </w:rPr>
              <w:t xml:space="preserve">c) </w:t>
            </w:r>
            <w:r>
              <w:rPr>
                <w:color w:val="1F2937"/>
                <w:sz w:val="21"/>
                <w:szCs w:val="21"/>
              </w:rPr>
              <w:t xml:space="preserve">Het scenario moet de drijver toetsen die de splitsing rechtvaardigde. Drijver 3 was isolatie van falen, dus:</w:t>
            </w:r>
          </w:p>
          <w:p>
            <w:pPr>
              <w:spacing w:after="120" w:line="276"/>
            </w:pPr>
            <w:r>
              <w:rPr>
                <w:i/>
                <w:iCs/>
                <w:color w:val="1F2937"/>
                <w:sz w:val="21"/>
                <w:szCs w:val="21"/>
              </w:rPr>
              <w:t xml:space="preserve">Tijdens een conversiebatch van 200.000 records op een werkdag blijft het zelfbedieningsportaal beschikbaar met een bevestigingstijd binnen 2 seconden (p95), en blijven behandelaars dossiers openen binnen 1 seconde (p95).</w:t>
            </w:r>
          </w:p>
          <w:p>
            <w:pPr>
              <w:spacing w:after="120" w:line="276"/>
            </w:pPr>
            <w:r>
              <w:rPr>
                <w:b/>
                <w:bCs/>
                <w:color w:val="1F2937"/>
                <w:sz w:val="21"/>
                <w:szCs w:val="21"/>
              </w:rPr>
              <w:t xml:space="preserve">Groepen die als scenario "de batch draait sneller" formuleren, toetsen drijver 2</w:t>
            </w:r>
            <w:r>
              <w:rPr>
                <w:color w:val="1F2937"/>
                <w:sz w:val="21"/>
                <w:szCs w:val="21"/>
              </w:rPr>
              <w:t xml:space="preserve"> — en die was tijdelijk en dus niet de reden voor de splitsing. Dat is een veelvoorkomende verwarring en zij is instructief: u meet de drijver die u gebruikt hebt, niet de drijver die het meest opvalt.</w:t>
            </w:r>
          </w:p>
          <w:p>
            <w:pPr>
              <w:spacing w:after="120" w:line="276"/>
            </w:pPr>
            <w:r>
              <w:rPr>
                <w:b/>
                <w:bCs/>
                <w:color w:val="1F2937"/>
                <w:sz w:val="21"/>
                <w:szCs w:val="21"/>
              </w:rPr>
              <w:t xml:space="preserve">e) </w:t>
            </w:r>
            <w:r>
              <w:rPr>
                <w:color w:val="1F2937"/>
                <w:sz w:val="21"/>
                <w:szCs w:val="21"/>
              </w:rPr>
              <w:t xml:space="preserve">Als de meting tegenvalt, zijn er drie mogelijkheden: de splitsing was onvoldoende (de diensten delen nog iets, bijvoorbeeld de database), de oorzaak lag elders (het was niet de batch maar de rapportagequery), of de splitsing was niet nodig.</w:t>
            </w:r>
          </w:p>
          <w:p>
            <w:pPr>
              <w:spacing w:after="120" w:line="276"/>
            </w:pPr>
            <w:r>
              <w:rPr>
                <w:b/>
                <w:bCs/>
                <w:color w:val="1F2937"/>
                <w:sz w:val="21"/>
                <w:szCs w:val="21"/>
              </w:rPr>
              <w:t xml:space="preserve">In het derde geval draait u terug,</w:t>
            </w:r>
            <w:r>
              <w:rPr>
                <w:color w:val="1F2937"/>
                <w:sz w:val="21"/>
                <w:szCs w:val="21"/>
              </w:rPr>
              <w:t xml:space="preserve"> en dat is een reële uitkomst die vrijwel nooit wordt overwogen. Samenvoegen is goedkoper dan splitsen; dat argument werkt beide kanten op, en een architect die het alleen in één richting gebruikt, is niet consequent.</w:t>
            </w:r>
          </w:p>
        </w:tc>
      </w:tr>
    </w:tbl>
    <w:p>
      <w:pPr>
        <w:spacing w:after="300"/>
      </w:pPr>
    </w:p>
    <w:p>
      <w:pPr>
        <w:pStyle w:val="Heading1"/>
        <w:pBdr>
          <w:bottom w:val="single" w:color="E5E7EB" w:sz="6" w:space="6"/>
        </w:pBdr>
        <w:spacing w:after="180" w:before="380"/>
      </w:pPr>
      <w:r>
        <w:rPr>
          <w:b/>
          <w:bCs/>
          <w:color w:val="1F3A5F"/>
          <w:sz w:val="30"/>
          <w:szCs w:val="30"/>
        </w:rPr>
        <w:t xml:space="preserve">Opdracht 13.8 — Uw eigen systeem (individueel huiswerk, 40 minuten)</w:t>
      </w:r>
    </w:p>
    <w:p>
      <w:pPr>
        <w:pStyle w:val="ListParagraph"/>
        <w:numPr>
          <w:ilvl w:val="0"/>
          <w:numId w:val="2"/>
        </w:numPr>
        <w:spacing w:after="100"/>
      </w:pPr>
      <w:r>
        <w:rPr>
          <w:b/>
          <w:bCs/>
          <w:color w:val="1F2937"/>
          <w:sz w:val="22"/>
          <w:szCs w:val="22"/>
        </w:rPr>
        <w:t xml:space="preserve">a)</w:t>
      </w:r>
      <w:r>
        <w:rPr>
          <w:color w:val="1F2937"/>
          <w:sz w:val="22"/>
          <w:szCs w:val="22"/>
        </w:rPr>
        <w:t xml:space="preserve"> Is uw systeem gedistribueerd? Zo ja: hoeveel eenheden, en is dat aantal ooit onderbouwd?</w:t>
      </w:r>
    </w:p>
    <w:p>
      <w:pPr>
        <w:pStyle w:val="ListParagraph"/>
        <w:numPr>
          <w:ilvl w:val="0"/>
          <w:numId w:val="2"/>
        </w:numPr>
        <w:spacing w:after="100"/>
      </w:pPr>
      <w:r>
        <w:rPr>
          <w:b/>
          <w:bCs/>
          <w:color w:val="1F2937"/>
          <w:sz w:val="22"/>
          <w:szCs w:val="22"/>
        </w:rPr>
        <w:t xml:space="preserve">b)</w:t>
      </w:r>
      <w:r>
        <w:rPr>
          <w:color w:val="1F2937"/>
          <w:sz w:val="22"/>
          <w:szCs w:val="22"/>
        </w:rPr>
        <w:t xml:space="preserve"> Loop de vier drijvers langs voor uw eigen situatie. Hoeveel zijn er vandaag aanwezig?</w:t>
      </w:r>
    </w:p>
    <w:p>
      <w:pPr>
        <w:pStyle w:val="ListParagraph"/>
        <w:numPr>
          <w:ilvl w:val="0"/>
          <w:numId w:val="2"/>
        </w:numPr>
        <w:spacing w:after="100"/>
      </w:pPr>
      <w:r>
        <w:rPr>
          <w:b/>
          <w:bCs/>
          <w:color w:val="1F2937"/>
          <w:sz w:val="22"/>
          <w:szCs w:val="22"/>
        </w:rPr>
        <w:t xml:space="preserve">c)</w:t>
      </w:r>
      <w:r>
        <w:rPr>
          <w:color w:val="1F2937"/>
          <w:sz w:val="22"/>
          <w:szCs w:val="22"/>
        </w:rPr>
        <w:t xml:space="preserve"> Als het antwoord bij b) lager is dan uw aantal diensten rechtvaardigt: welke twee diensten zou u samenvoegen, en wat kost dat?</w:t>
      </w:r>
    </w:p>
    <w:p>
      <w:pPr>
        <w:pStyle w:val="ListParagraph"/>
        <w:numPr>
          <w:ilvl w:val="0"/>
          <w:numId w:val="2"/>
        </w:numPr>
        <w:spacing w:after="100"/>
      </w:pPr>
      <w:r>
        <w:rPr>
          <w:b/>
          <w:bCs/>
          <w:color w:val="1F2937"/>
          <w:sz w:val="22"/>
          <w:szCs w:val="22"/>
        </w:rPr>
        <w:t xml:space="preserve">d)</w:t>
      </w:r>
      <w:r>
        <w:rPr>
          <w:color w:val="1F2937"/>
          <w:sz w:val="22"/>
          <w:szCs w:val="22"/>
        </w:rPr>
        <w:t xml:space="preserve"> Heeft uw organisatie een koppelvlakversiebeleid? Wat gebeurt er nu als iemand een veld hernoemt?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13.8</w:t>
            </w:r>
          </w:p>
          <w:p>
            <w:pPr>
              <w:spacing w:after="80"/>
            </w:pPr>
          </w:p>
          <w:p>
            <w:pPr>
              <w:spacing w:after="120" w:line="276"/>
            </w:pPr>
            <w:r>
              <w:rPr>
                <w:color w:val="1F2937"/>
                <w:sz w:val="21"/>
                <w:szCs w:val="21"/>
              </w:rPr>
              <w:t xml:space="preserve">Individueel. Bij b) is de gebruikelijke uitkomst dat er één of twee drijvers aanwezig zijn bij een aantal diensten dat er drie of vier zou rechtvaardigen. Dat is geen aanklacht — het is het normale gevolg van een periode waarin distributie de standaardkeuze was.</w:t>
            </w:r>
          </w:p>
          <w:p>
            <w:pPr>
              <w:spacing w:after="120" w:line="276"/>
            </w:pPr>
            <w:r>
              <w:rPr>
                <w:color w:val="1F2937"/>
                <w:sz w:val="21"/>
                <w:szCs w:val="21"/>
              </w:rPr>
              <w:t xml:space="preserve">Bij c) is de meest genoemde belemmering niet techniek maar organisatie: twee diensten samenvoegen betekent twee teams samenvoegen, en dat is een gesprek dat niemand wil voeren. Dat is de omgekeerde Conway-beweging, en het is de reden dat deel 21 bestaat.</w:t>
            </w:r>
          </w:p>
        </w:tc>
      </w:tr>
    </w:tbl>
    <w:p>
      <w:pPr>
        <w:pBdr>
          <w:top w:val="single" w:color="E5E7EB" w:sz="4" w:space="8"/>
        </w:pBdr>
        <w:spacing w:before="400"/>
        <w:jc w:val="center"/>
      </w:pPr>
      <w:r>
        <w:rPr>
          <w:i/>
          <w:iCs/>
          <w:color w:val="6B7280"/>
          <w:sz w:val="17"/>
          <w:szCs w:val="17"/>
        </w:rPr>
        <w:t xml:space="preserve">Ductus B.V. · Cursus Softwarearchitectuur · Niveau 2, deel 13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13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2026-08-17T14:48:56.455Z</dcterms:created>
  <dcterms:modified xsi:type="dcterms:W3CDTF">2026-08-17T14:48:56.457Z</dcterms:modified>
</cp:coreProperties>
</file>

<file path=docProps/custom.xml><?xml version="1.0" encoding="utf-8"?>
<Properties xmlns="http://schemas.openxmlformats.org/officeDocument/2006/custom-properties" xmlns:vt="http://schemas.openxmlformats.org/officeDocument/2006/docPropsVTypes"/>
</file>