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14 — Event sourcing en CQRS</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14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lost een belofte in die in deel 5 van niveau 1 is gedaan en sindsdien is blijven staan: gebeurtenissen als bron van de mutatiegeschiedenis. Het opent met het bewijs dat de belofte nodig was — de mislukte reconstructieproef uit week 12.</w:t>
      </w:r>
    </w:p>
    <w:p>
      <w:pPr>
        <w:spacing w:after="160" w:line="276"/>
      </w:pPr>
      <w:r>
        <w:rPr>
          <w:b/>
          <w:bCs/>
          <w:color w:val="1F2937"/>
          <w:sz w:val="22"/>
          <w:szCs w:val="22"/>
        </w:rPr>
        <w:t xml:space="preserve">Drie dingen maken dit deel bijzonder.</w:t>
      </w:r>
      <w:r>
        <w:rPr>
          <w:color w:val="1F2937"/>
          <w:sz w:val="22"/>
          <w:szCs w:val="22"/>
        </w:rPr>
        <w:t xml:space="preserve"/>
      </w:r>
    </w:p>
    <w:p>
      <w:pPr>
        <w:pStyle w:val="ListParagraph"/>
        <w:numPr>
          <w:ilvl w:val="0"/>
          <w:numId w:val="2"/>
        </w:numPr>
        <w:spacing w:after="120"/>
      </w:pPr>
      <w:r>
        <w:rPr>
          <w:b/>
          <w:bCs/>
          <w:color w:val="1F2937"/>
          <w:sz w:val="22"/>
          <w:szCs w:val="22"/>
        </w:rPr>
        <w:t xml:space="preserve">Het is het deel waarin het meetplan zich terugbetaalt.</w:t>
      </w:r>
      <w:r>
        <w:rPr>
          <w:color w:val="1F2937"/>
          <w:sz w:val="22"/>
          <w:szCs w:val="22"/>
        </w:rPr>
        <w:t xml:space="preserve"> De proef vond plaats in week 12 en faalde; dat is een succes, geen probleem. Zorg dat de groep dat zo ziet, want het is de sterkste illustratie van B5 die de hele cursus heeft.</w:t>
      </w:r>
    </w:p>
    <w:p>
      <w:pPr>
        <w:pStyle w:val="ListParagraph"/>
        <w:numPr>
          <w:ilvl w:val="0"/>
          <w:numId w:val="2"/>
        </w:numPr>
        <w:spacing w:after="120"/>
      </w:pPr>
      <w:r>
        <w:rPr>
          <w:b/>
          <w:bCs/>
          <w:color w:val="1F2937"/>
          <w:sz w:val="22"/>
          <w:szCs w:val="22"/>
        </w:rPr>
        <w:t xml:space="preserve">Het is het meest overgewaardeerde onderwerp in het vakgebied.</w:t>
      </w:r>
      <w:r>
        <w:rPr>
          <w:color w:val="1F2937"/>
          <w:sz w:val="22"/>
          <w:szCs w:val="22"/>
        </w:rPr>
        <w:t xml:space="preserve"> Event sourcing wekt enthousiasme dat zelden in verhouding staat tot de kosten. De drie niveaus (paragraaf 14.2) en de lichtere alternatieven (14.6) zijn daarom geen bijzaak maar het inhoudelijke tegenwicht.</w:t>
      </w:r>
    </w:p>
    <w:p>
      <w:pPr>
        <w:pStyle w:val="ListParagraph"/>
        <w:numPr>
          <w:ilvl w:val="0"/>
          <w:numId w:val="2"/>
        </w:numPr>
        <w:spacing w:after="120"/>
      </w:pPr>
      <w:r>
        <w:rPr>
          <w:b/>
          <w:bCs/>
          <w:color w:val="1F2937"/>
          <w:sz w:val="22"/>
          <w:szCs w:val="22"/>
        </w:rPr>
        <w:t xml:space="preserve">Het bevat de scherpste juridische raakvlakken van de cursus.</w:t>
      </w:r>
      <w:r>
        <w:rPr>
          <w:color w:val="1F2937"/>
          <w:sz w:val="22"/>
          <w:szCs w:val="22"/>
        </w:rPr>
        <w:t xml:space="preserve"> Correcties, terugwerkende kracht en het verwijderrecht zijn geen technische vraagstukken met een technische oplossing. De architect levert een patroon en benoemt de gevolgen; de beslissing ligt elders. Dat onderscheid oefenen deelnemers hier voor het eerst expliciet, en het is de opmaat naar niveau 3.</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De reconstructieproef en haar uitkomst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0:15–0:40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14.1 — de mislukte reconstructie</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6–7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0:40–0:55</w:t>
            </w:r>
          </w:p>
        </w:tc>
        <w:tc>
          <w:tcPr>
            <w:tcW w:type="dxa" w:w="4300"/>
            <w:tcMar>
              <w:top w:type="dxa" w:w="100"/>
              <w:left w:type="dxa" w:w="120"/>
              <w:bottom w:type="dxa" w:w="100"/>
              <w:right w:type="dxa" w:w="120"/>
            </w:tcMar>
            <w:vAlign w:val="center"/>
          </w:tcPr>
          <w:p>
            <w:r>
              <w:rPr>
                <w:b w:val="false"/>
                <w:bCs w:val="false"/>
                <w:color w:val="1F2937"/>
                <w:sz w:val="19"/>
                <w:szCs w:val="19"/>
              </w:rPr>
              <w:t xml:space="preserve">Drie niveaus van gebeurtenisgebruik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0:55–1:05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1:05–1:30</w:t>
            </w:r>
          </w:p>
        </w:tc>
        <w:tc>
          <w:tcPr>
            <w:tcW w:type="dxa" w:w="4300"/>
            <w:tcMar>
              <w:top w:type="dxa" w:w="100"/>
              <w:left w:type="dxa" w:w="120"/>
              <w:bottom w:type="dxa" w:w="100"/>
              <w:right w:type="dxa" w:w="120"/>
            </w:tcMar>
            <w:vAlign w:val="center"/>
          </w:tcPr>
          <w:p>
            <w:r>
              <w:rPr>
                <w:b w:val="false"/>
                <w:bCs w:val="false"/>
                <w:color w:val="1F2937"/>
                <w:sz w:val="19"/>
                <w:szCs w:val="19"/>
              </w:rPr>
              <w:t xml:space="preserve">Event sourcing: principe, momentopnamen, versies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11–15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1:30–2:10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14.3 — de gebeurtenissenstroom ontwerpen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2:10–2:25</w:t>
            </w:r>
          </w:p>
        </w:tc>
        <w:tc>
          <w:tcPr>
            <w:tcW w:type="dxa" w:w="4300"/>
            <w:tcMar>
              <w:top w:type="dxa" w:w="100"/>
              <w:left w:type="dxa" w:w="120"/>
              <w:bottom w:type="dxa" w:w="100"/>
              <w:right w:type="dxa" w:w="120"/>
            </w:tcMar>
            <w:vAlign w:val="center"/>
          </w:tcPr>
          <w:p>
            <w:r>
              <w:rPr>
                <w:b w:val="false"/>
                <w:bCs w:val="false"/>
                <w:color w:val="1F2937"/>
                <w:sz w:val="19"/>
                <w:szCs w:val="19"/>
              </w:rPr>
              <w:t xml:space="preserve">Twee tijdlijnen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17–19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2:25–2:35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2:35–3:00</w:t>
            </w:r>
          </w:p>
        </w:tc>
        <w:tc>
          <w:tcPr>
            <w:tcW w:type="dxa" w:w="4300"/>
            <w:tcMar>
              <w:top w:type="dxa" w:w="100"/>
              <w:left w:type="dxa" w:w="120"/>
              <w:bottom w:type="dxa" w:w="100"/>
              <w:right w:type="dxa" w:w="120"/>
            </w:tcMar>
            <w:vAlign w:val="center"/>
          </w:tcPr>
          <w:p>
            <w:r>
              <w:rPr>
                <w:b w:val="false"/>
                <w:bCs w:val="false"/>
                <w:color w:val="1F2937"/>
                <w:sz w:val="19"/>
                <w:szCs w:val="19"/>
              </w:rPr>
              <w:t xml:space="preserve">CQRS, leesmodellen en uitgestelde consistentie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20–24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3:00–3:15</w:t>
            </w:r>
          </w:p>
        </w:tc>
        <w:tc>
          <w:tcPr>
            <w:tcW w:type="dxa" w:w="4300"/>
            <w:tcMar>
              <w:top w:type="dxa" w:w="100"/>
              <w:left w:type="dxa" w:w="120"/>
              <w:bottom w:type="dxa" w:w="100"/>
              <w:right w:type="dxa" w:w="120"/>
            </w:tcMar>
            <w:vAlign w:val="center"/>
          </w:tcPr>
          <w:p>
            <w:r>
              <w:rPr>
                <w:b w:val="false"/>
                <w:bCs w:val="false"/>
                <w:color w:val="1F2937"/>
                <w:sz w:val="19"/>
                <w:szCs w:val="19"/>
              </w:rPr>
              <w:t xml:space="preserve">Correcties en het verwijderrecht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3:15–3:45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14.5 — correcties en verwijderen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28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300"/>
            <w:tcMar>
              <w:top w:type="dxa" w:w="100"/>
              <w:left w:type="dxa" w:w="120"/>
              <w:bottom w:type="dxa" w:w="100"/>
              <w:right w:type="dxa" w:w="120"/>
            </w:tcMar>
            <w:vAlign w:val="center"/>
          </w:tcPr>
          <w:p>
            <w:r>
              <w:rPr>
                <w:b w:val="false"/>
                <w:bCs w:val="false"/>
                <w:color w:val="1F2937"/>
                <w:sz w:val="19"/>
                <w:szCs w:val="19"/>
              </w:rPr>
              <w:t xml:space="preserve">Wanneer het niet loont;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29–30</w:t>
            </w:r>
          </w:p>
        </w:tc>
      </w:tr>
    </w:tbl>
    <w:p>
      <w:pPr>
        <w:spacing w:after="300"/>
      </w:pPr>
    </w:p>
    <w:p>
      <w:pPr>
        <w:spacing w:after="160" w:line="276"/>
      </w:pPr>
      <w:r>
        <w:rPr>
          <w:b/>
          <w:bCs/>
          <w:color w:val="1F2937"/>
          <w:sz w:val="22"/>
          <w:szCs w:val="22"/>
        </w:rPr>
        <w:t xml:space="preserve">Opdracht 14.2 (welk niveau waar), 14.4 (leesmodel) en 14.6 (wanneer niet) staan niet in de planning.</w:t>
      </w:r>
      <w:r>
        <w:rPr>
          <w:color w:val="1F2937"/>
          <w:sz w:val="22"/>
          <w:szCs w:val="22"/>
        </w:rPr>
        <w:t xml:space="preserve"/>
      </w:r>
    </w:p>
    <w:p>
      <w:pPr>
        <w:pStyle w:val="ListParagraph"/>
        <w:numPr>
          <w:ilvl w:val="0"/>
          <w:numId w:val="3"/>
        </w:numPr>
        <w:spacing w:after="100"/>
      </w:pPr>
      <w:r>
        <w:rPr>
          <w:b/>
          <w:bCs/>
          <w:color w:val="1F2937"/>
          <w:sz w:val="22"/>
          <w:szCs w:val="22"/>
        </w:rPr>
        <w:t xml:space="preserve">Doe 14.2 in plaats van 14.3</w:t>
      </w:r>
      <w:r>
        <w:rPr>
          <w:color w:val="1F2937"/>
          <w:sz w:val="22"/>
          <w:szCs w:val="22"/>
        </w:rPr>
        <w:t xml:space="preserve"> bij een groep die vooral adviseert; de classificatievraag is voor hen bruikbaarder dan het ontwerpen van een stroom. Onderdeel 7 (reglementparameters) is dan het hoogtepunt.</w:t>
      </w:r>
    </w:p>
    <w:p>
      <w:pPr>
        <w:pStyle w:val="ListParagraph"/>
        <w:numPr>
          <w:ilvl w:val="0"/>
          <w:numId w:val="3"/>
        </w:numPr>
        <w:spacing w:after="100"/>
      </w:pPr>
      <w:r>
        <w:rPr>
          <w:b/>
          <w:bCs/>
          <w:color w:val="1F2937"/>
          <w:sz w:val="22"/>
          <w:szCs w:val="22"/>
        </w:rPr>
        <w:t xml:space="preserve">Doe 14.4 in plaats van 14.5</w:t>
      </w:r>
      <w:r>
        <w:rPr>
          <w:color w:val="1F2937"/>
          <w:sz w:val="22"/>
          <w:szCs w:val="22"/>
        </w:rPr>
        <w:t xml:space="preserve"> bij een groep die vooral bouwt; onderdeel f) is het argument dat zij nodig hebben om event sourcing aan hun opdrachtgever te verkopen.</w:t>
      </w:r>
    </w:p>
    <w:p>
      <w:pPr>
        <w:pStyle w:val="ListParagraph"/>
        <w:numPr>
          <w:ilvl w:val="0"/>
          <w:numId w:val="3"/>
        </w:numPr>
        <w:spacing w:after="100"/>
      </w:pPr>
      <w:r>
        <w:rPr>
          <w:b/>
          <w:bCs/>
          <w:color w:val="1F2937"/>
          <w:sz w:val="22"/>
          <w:szCs w:val="22"/>
        </w:rPr>
        <w:t xml:space="preserve">Doe 14.6 klassikaal in tien minuten</w:t>
      </w:r>
      <w:r>
        <w:rPr>
          <w:color w:val="1F2937"/>
          <w:sz w:val="22"/>
          <w:szCs w:val="22"/>
        </w:rPr>
        <w:t xml:space="preserve"> als u geen tijd hebt voor de opdracht — situatie 6 mag u niet overslaan.</w:t>
      </w:r>
    </w:p>
    <w:p>
      <w:pPr>
        <w:spacing w:after="160" w:line="276"/>
      </w:pPr>
      <w:r>
        <w:rPr>
          <w:b/>
          <w:bCs/>
          <w:color w:val="1F2937"/>
          <w:sz w:val="22"/>
          <w:szCs w:val="22"/>
        </w:rPr>
        <w:t xml:space="preserve">Wat u nooit inkort: </w:t>
      </w:r>
      <w:r>
        <w:rPr>
          <w:color w:val="1F2937"/>
          <w:sz w:val="22"/>
          <w:szCs w:val="22"/>
        </w:rPr>
        <w:t xml:space="preserve">de plenaire behandeling van de twee tijdlijnen (slides 17–19).</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reconstructieproef (slides 2–7)</w:t>
      </w:r>
    </w:p>
    <w:p>
      <w:pPr>
        <w:spacing w:after="160" w:line="276"/>
      </w:pPr>
      <w:r>
        <w:rPr>
          <w:b/>
          <w:bCs/>
          <w:color w:val="1F2937"/>
          <w:sz w:val="22"/>
          <w:szCs w:val="22"/>
        </w:rPr>
        <w:t xml:space="preserve">Open met de opdrachtformulering van de proef, niet met de uitkomst.</w:t>
      </w:r>
      <w:r>
        <w:rPr>
          <w:color w:val="1F2937"/>
          <w:sz w:val="22"/>
          <w:szCs w:val="22"/>
        </w:rPr>
        <w:t xml:space="preserve"> Vraag de groep of zij denkt dat hun eigen systeem deze vraag kan beantwoorden. De meeste handen blijven omlaag, en dat is het startpunt.</w:t>
      </w:r>
    </w:p>
    <w:p>
      <w:pPr>
        <w:spacing w:after="160" w:line="276"/>
      </w:pPr>
      <w:r>
        <w:rPr>
          <w:b/>
          <w:bCs/>
          <w:color w:val="1F2937"/>
          <w:sz w:val="22"/>
          <w:szCs w:val="22"/>
        </w:rPr>
        <w:t xml:space="preserve">Slide 5 is de framing die u niet mag overslaan: </w:t>
      </w:r>
      <w:r>
        <w:rPr>
          <w:color w:val="1F2937"/>
          <w:sz w:val="22"/>
          <w:szCs w:val="22"/>
        </w:rPr>
        <w:t xml:space="preserve">dit is een geslaagde meting. Zij vond plaats in week 12 in plaats van week 58, en zij kostte een halve dag in plaats van een programma. Verbind expliciet met B5 uit niveau 1 — dit is het bewijs dat het meetplan werkt.</w:t>
      </w:r>
    </w:p>
    <w:p>
      <w:pPr>
        <w:spacing w:after="160" w:line="276"/>
      </w:pPr>
      <w:r>
        <w:rPr>
          <w:b/>
          <w:bCs/>
          <w:color w:val="1F2937"/>
          <w:sz w:val="22"/>
          <w:szCs w:val="22"/>
        </w:rPr>
        <w:t xml:space="preserve">Opdracht 14.1, plenair vooral c) en d).</w:t>
      </w:r>
      <w:r>
        <w:rPr>
          <w:color w:val="1F2937"/>
          <w:sz w:val="22"/>
          <w:szCs w:val="22"/>
        </w:rPr>
        <w:t xml:space="preserve"> Het onderscheid dat moet vallen: een audittabel beantwoordt "wie wijzigde wat", niet "wat gold er toen". Slide 7 zegt het in één zin; laat de groep er eerst zelf op komen via reden 2 (de reglementparametertabel viel buiten de audit omdat zij als configuratie gold).</w:t>
      </w:r>
    </w:p>
    <w:p>
      <w:pPr>
        <w:spacing w:after="160" w:line="276"/>
      </w:pPr>
      <w:r>
        <w:rPr>
          <w:b/>
          <w:bCs/>
          <w:color w:val="1F2937"/>
          <w:sz w:val="22"/>
          <w:szCs w:val="22"/>
        </w:rPr>
        <w:t xml:space="preserve">Dat laatste is een terugkerend patroon dat u expliciet moet benoemen: </w:t>
      </w:r>
      <w:r>
        <w:rPr>
          <w:color w:val="1F2937"/>
          <w:sz w:val="22"/>
          <w:szCs w:val="22"/>
        </w:rPr>
        <w:t xml:space="preserve">gegevens die het gedrag van een systeem sturen, worden vaak als configuratie behandeld en daarmee buiten alle administratieve waarborgen geplaatst — terwijl zij de uitkomst van elke berekening bepalen.</w:t>
      </w:r>
    </w:p>
    <w:p>
      <w:pPr>
        <w:pStyle w:val="Heading2"/>
        <w:spacing w:after="140" w:before="260"/>
      </w:pPr>
      <w:r>
        <w:rPr>
          <w:b/>
          <w:bCs/>
          <w:color w:val="4A6789"/>
          <w:sz w:val="24"/>
          <w:szCs w:val="24"/>
        </w:rPr>
        <w:t xml:space="preserve">3.2 De drie niveaus (slides 8–10)</w:t>
      </w:r>
    </w:p>
    <w:p>
      <w:pPr>
        <w:spacing w:after="160" w:line="276"/>
      </w:pPr>
      <w:r>
        <w:rPr>
          <w:b/>
          <w:bCs/>
          <w:color w:val="1F2937"/>
          <w:sz w:val="22"/>
          <w:szCs w:val="22"/>
        </w:rPr>
        <w:t xml:space="preserve">Dit blok is het tegenwicht en het moet vroeg komen, </w:t>
      </w:r>
      <w:r>
        <w:rPr>
          <w:color w:val="1F2937"/>
          <w:sz w:val="22"/>
          <w:szCs w:val="22"/>
        </w:rPr>
        <w:t xml:space="preserve">vóór het enthousiasme.</w:t>
      </w:r>
    </w:p>
    <w:p>
      <w:pPr>
        <w:spacing w:after="160" w:line="276"/>
      </w:pPr>
      <w:r>
        <w:rPr>
          <w:b/>
          <w:bCs/>
          <w:color w:val="1F2937"/>
          <w:sz w:val="22"/>
          <w:szCs w:val="22"/>
        </w:rPr>
        <w:t xml:space="preserve">Slide 10 is de belangrijkste zin van het deel voor de praktijk: </w:t>
      </w:r>
      <w:r>
        <w:rPr>
          <w:color w:val="1F2937"/>
          <w:sz w:val="22"/>
          <w:szCs w:val="22"/>
        </w:rPr>
        <w:t xml:space="preserve">voor veel systemen die "event sourcing willen" is niveau 2 genoeg. Zeg erbij dat niveau 2 vrijwel alle aantoonbaarheidswinst geeft tegen een fractie van de kosten, en dat de keuze voor niveau 3 een aparte rechtvaardiging vraagt.</w:t>
      </w:r>
    </w:p>
    <w:p>
      <w:pPr>
        <w:pStyle w:val="Heading2"/>
        <w:spacing w:after="140" w:before="260"/>
      </w:pPr>
      <w:r>
        <w:rPr>
          <w:b/>
          <w:bCs/>
          <w:color w:val="4A6789"/>
          <w:sz w:val="24"/>
          <w:szCs w:val="24"/>
        </w:rPr>
        <w:t xml:space="preserve">3.3 Event sourcing (slides 11–16)</w:t>
      </w:r>
    </w:p>
    <w:p>
      <w:pPr>
        <w:spacing w:after="160" w:line="276"/>
      </w:pPr>
      <w:r>
        <w:rPr>
          <w:b/>
          <w:bCs/>
          <w:color w:val="1F2937"/>
          <w:sz w:val="22"/>
          <w:szCs w:val="22"/>
        </w:rPr>
        <w:t xml:space="preserve">Slide 13, derde punt (nieuwe vragen op oude gegevens), is het sterkste argument </w:t>
      </w:r>
      <w:r>
        <w:rPr>
          <w:color w:val="1F2937"/>
          <w:sz w:val="22"/>
          <w:szCs w:val="22"/>
        </w:rPr>
        <w:t xml:space="preserve">en het wordt in technische besprekingen zelden genoemd omdat het geen technisch argument is. Formuleer het zoals op de slide: toezichtvragen zijn niet te voorzien, en de vraag van 2029 stelt u niet in 2026.</w:t>
      </w:r>
    </w:p>
    <w:p>
      <w:pPr>
        <w:spacing w:after="160" w:line="276"/>
      </w:pPr>
      <w:r>
        <w:rPr>
          <w:b/>
          <w:bCs/>
          <w:color w:val="1F2937"/>
          <w:sz w:val="22"/>
          <w:szCs w:val="22"/>
        </w:rPr>
        <w:t xml:space="preserve">Slide 14 en 15 zijn de kostenkant </w:t>
      </w:r>
      <w:r>
        <w:rPr>
          <w:color w:val="1F2937"/>
          <w:sz w:val="22"/>
          <w:szCs w:val="22"/>
        </w:rPr>
        <w:t xml:space="preserve">en zij verdienen evenveel aandacht als de batenkant. Vooral slide 15: uw code moet zeven jaar lang gebeurtenissen kunnen lezen die zijn geschreven door een versie van uzelf die u niet meer herkent. Dat is een reële last die zelden vooraf wordt benoemd.</w:t>
      </w:r>
    </w:p>
    <w:p>
      <w:pPr>
        <w:spacing w:after="160" w:line="276"/>
      </w:pPr>
      <w:r>
        <w:rPr>
          <w:b/>
          <w:bCs/>
          <w:color w:val="1F2937"/>
          <w:sz w:val="22"/>
          <w:szCs w:val="22"/>
        </w:rPr>
        <w:t xml:space="preserve">Opdracht 14.3,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Groepen zetten één datum per gebeurtenis.</w:t>
      </w:r>
      <w:r>
        <w:rPr>
          <w:color w:val="1F2937"/>
          <w:sz w:val="22"/>
          <w:szCs w:val="22"/>
        </w:rPr>
        <w:t xml:space="preserve"> Dwing beide tijdlijnen af — dat is de hele opdracht.</w:t>
      </w:r>
    </w:p>
    <w:p>
      <w:pPr>
        <w:pStyle w:val="ListParagraph"/>
        <w:numPr>
          <w:ilvl w:val="0"/>
          <w:numId w:val="4"/>
        </w:numPr>
        <w:spacing w:after="120"/>
      </w:pPr>
      <w:r>
        <w:rPr>
          <w:b/>
          <w:bCs/>
          <w:color w:val="1F2937"/>
          <w:sz w:val="22"/>
          <w:szCs w:val="22"/>
        </w:rPr>
        <w:t xml:space="preserve">Bij onderdeel d) wordt de correctiegebeurtenis te mager geformuleerd.</w:t>
      </w:r>
      <w:r>
        <w:rPr>
          <w:color w:val="1F2937"/>
          <w:sz w:val="22"/>
          <w:szCs w:val="22"/>
        </w:rPr>
        <w:t xml:space="preserve"> Laat ze de volledige vorm schrijven: oorspronkelijke waarde, nieuwe waarde, grond, verschil, reden, actor, beide data. En laat ze constateren wat er niet in staat — de beslissing over terugvordering, want dat is beleid.</w:t>
      </w:r>
    </w:p>
    <w:p>
      <w:pPr>
        <w:pStyle w:val="Heading2"/>
        <w:spacing w:after="140" w:before="260"/>
      </w:pPr>
      <w:r>
        <w:rPr>
          <w:b/>
          <w:bCs/>
          <w:color w:val="4A6789"/>
          <w:sz w:val="24"/>
          <w:szCs w:val="24"/>
        </w:rPr>
        <w:t xml:space="preserve">3.4 Twee tijdlijnen (slides 17–19)</w:t>
      </w:r>
    </w:p>
    <w:p>
      <w:pPr>
        <w:spacing w:after="160" w:line="276"/>
      </w:pPr>
      <w:r>
        <w:rPr>
          <w:b/>
          <w:bCs/>
          <w:color w:val="1F2937"/>
          <w:sz w:val="22"/>
          <w:szCs w:val="22"/>
        </w:rPr>
        <w:t xml:space="preserve">Dit is het inhoudelijke hoogtepunt van het dagdeel en het meest onderscheidende stuk voor deze doelgroep.</w:t>
      </w:r>
      <w:r>
        <w:rPr>
          <w:color w:val="1F2937"/>
          <w:sz w:val="22"/>
          <w:szCs w:val="22"/>
        </w:rPr>
        <w:t xml:space="preserve"/>
      </w:r>
    </w:p>
    <w:p>
      <w:pPr>
        <w:spacing w:after="160" w:line="276"/>
      </w:pPr>
      <w:r>
        <w:rPr>
          <w:color w:val="1F2937"/>
          <w:sz w:val="22"/>
          <w:szCs w:val="22"/>
        </w:rPr>
        <w:t xml:space="preserve">Werk het uit met de casus uit opdracht 14.3: wat wisten wij op 5 juni levert "de betaling was juist", wat gold er feitelijk op 5 juni levert "de betaling was onjuist". Beide waar, beide nodig.</w:t>
      </w:r>
    </w:p>
    <w:p>
      <w:pPr>
        <w:spacing w:after="160" w:line="276"/>
      </w:pPr>
      <w:r>
        <w:rPr>
          <w:b/>
          <w:bCs/>
          <w:color w:val="1F2937"/>
          <w:sz w:val="22"/>
          <w:szCs w:val="22"/>
        </w:rPr>
        <w:t xml:space="preserve">Slide 19 is de zin die deelnemers meenemen: </w:t>
      </w:r>
      <w:r>
        <w:rPr>
          <w:color w:val="1F2937"/>
          <w:sz w:val="22"/>
          <w:szCs w:val="22"/>
        </w:rPr>
        <w:t xml:space="preserve">u kunt niet worden afgerekend op informatie die u niet had — maar alleen als u kunt aantonen wat u wist. Voor een sector met geschillen, klachtenprocedures en toezicht is dat geen abstractie.</w:t>
      </w:r>
    </w:p>
    <w:p>
      <w:pPr>
        <w:spacing w:after="160" w:line="276"/>
      </w:pPr>
      <w:r>
        <w:rPr>
          <w:b/>
          <w:bCs/>
          <w:color w:val="1F2937"/>
          <w:sz w:val="22"/>
          <w:szCs w:val="22"/>
        </w:rPr>
        <w:t xml:space="preserve">De valkuil: </w:t>
      </w:r>
      <w:r>
        <w:rPr>
          <w:color w:val="1F2937"/>
          <w:sz w:val="22"/>
          <w:szCs w:val="22"/>
        </w:rPr>
        <w:t xml:space="preserve">deelnemers denken dat twee tijdlijnen event sourcing vereisen. Dat is niet zo — temporele tabellen doen het ook, en dat staat in 14.6. Wat event sourcing toevoegt is de reden, niet de tijdlijn.</w:t>
      </w:r>
    </w:p>
    <w:p>
      <w:pPr>
        <w:pStyle w:val="Heading2"/>
        <w:spacing w:after="140" w:before="260"/>
      </w:pPr>
      <w:r>
        <w:rPr>
          <w:b/>
          <w:bCs/>
          <w:color w:val="4A6789"/>
          <w:sz w:val="24"/>
          <w:szCs w:val="24"/>
        </w:rPr>
        <w:t xml:space="preserve">3.5 CQRS en uitgestelde consistentie (slides 20–24)</w:t>
      </w:r>
    </w:p>
    <w:p>
      <w:pPr>
        <w:spacing w:after="160" w:line="276"/>
      </w:pPr>
      <w:r>
        <w:rPr>
          <w:b/>
          <w:bCs/>
          <w:color w:val="1F2937"/>
          <w:sz w:val="22"/>
          <w:szCs w:val="22"/>
        </w:rPr>
        <w:t xml:space="preserve">Slide 24 is de praktische kern.</w:t>
      </w:r>
      <w:r>
        <w:rPr>
          <w:color w:val="1F2937"/>
          <w:sz w:val="22"/>
          <w:szCs w:val="22"/>
        </w:rPr>
        <w:t xml:space="preserve"> Gebruikers accepteren dat een collega iets later ziet; zij accepteren niet dat hun eigen handeling lijkt te zijn mislukt — dan drukken zij nogmaals, en dan hebt u een dubbele mutatie.</w:t>
      </w:r>
    </w:p>
    <w:p>
      <w:pPr>
        <w:spacing w:after="160" w:line="276"/>
      </w:pPr>
      <w:r>
        <w:rPr>
          <w:color w:val="1F2937"/>
          <w:sz w:val="22"/>
          <w:szCs w:val="22"/>
        </w:rPr>
        <w:t xml:space="preserve">Dat laatste is geen theoretisch gevolg. Vraag de groep of iemand een systeem kent waar dubbele invoer ontstaat door herhaald drukken; er komen altijd voorbeelden.</w:t>
      </w:r>
    </w:p>
    <w:p>
      <w:pPr>
        <w:spacing w:after="160" w:line="276"/>
      </w:pPr>
      <w:r>
        <w:rPr>
          <w:b/>
          <w:bCs/>
          <w:color w:val="1F2937"/>
          <w:sz w:val="22"/>
          <w:szCs w:val="22"/>
        </w:rPr>
        <w:t xml:space="preserve">Verbind terug naar deel 9 van niveau 1: </w:t>
      </w:r>
      <w:r>
        <w:rPr>
          <w:color w:val="1F2937"/>
          <w:sz w:val="22"/>
          <w:szCs w:val="22"/>
        </w:rPr>
        <w:t xml:space="preserve">het scenario van de mutatiebehandelaar ("ik zie het, mijn collega niet — is dat normaal of een storing?") wordt hier beantwoord met een maatregel. Dat is de derde keer dat dit scenario terugkomt, en dat is opzet.</w:t>
      </w:r>
    </w:p>
    <w:p>
      <w:pPr>
        <w:pStyle w:val="Heading2"/>
        <w:spacing w:after="140" w:before="260"/>
      </w:pPr>
      <w:r>
        <w:rPr>
          <w:b/>
          <w:bCs/>
          <w:color w:val="4A6789"/>
          <w:sz w:val="24"/>
          <w:szCs w:val="24"/>
        </w:rPr>
        <w:t xml:space="preserve">3.6 Correcties en verwijderen (slides 25–28)</w:t>
      </w:r>
    </w:p>
    <w:p>
      <w:pPr>
        <w:spacing w:after="160" w:line="276"/>
      </w:pPr>
      <w:r>
        <w:rPr>
          <w:b/>
          <w:bCs/>
          <w:color w:val="1F2937"/>
          <w:sz w:val="22"/>
          <w:szCs w:val="22"/>
        </w:rPr>
        <w:t xml:space="preserve">Slide 26 is administratief en niet technisch: </w:t>
      </w:r>
      <w:r>
        <w:rPr>
          <w:color w:val="1F2937"/>
          <w:sz w:val="22"/>
          <w:szCs w:val="22"/>
        </w:rPr>
        <w:t xml:space="preserve">een systeem dat corrigeert door te overschrijven, wist het feit dat er een fout is gemaakt. Voor een uitvoerder onder toezicht is dat het punt.</w:t>
      </w:r>
    </w:p>
    <w:p>
      <w:pPr>
        <w:spacing w:after="160" w:line="276"/>
      </w:pPr>
      <w:r>
        <w:rPr>
          <w:b/>
          <w:bCs/>
          <w:color w:val="1F2937"/>
          <w:sz w:val="22"/>
          <w:szCs w:val="22"/>
        </w:rPr>
        <w:t xml:space="preserve">Opdracht 14.5, met de nadruk op e).</w:t>
      </w:r>
      <w:r>
        <w:rPr>
          <w:color w:val="1F2937"/>
          <w:sz w:val="22"/>
          <w:szCs w:val="22"/>
        </w:rPr>
        <w:t xml:space="preserve"> De grensvraag — mag deelnemer A zien dat er ooit een mutatie van iemand anders op zijn dossier stond — heeft geen technisch antwoord, en dat is precies waarom hij erin staat.</w:t>
      </w:r>
    </w:p>
    <w:p>
      <w:pPr>
        <w:spacing w:after="160" w:line="276"/>
      </w:pPr>
      <w:r>
        <w:rPr>
          <w:color w:val="1F2937"/>
          <w:sz w:val="22"/>
          <w:szCs w:val="22"/>
        </w:rPr>
        <w:t xml:space="preserve">Het werkbare patroon is hetzelfde als bij het verwijderrecht: scheid dat er iets gebeurde van wat er precies gebeurde. Als de groep dat verband zelf legt, benoem het — het laat zien dat één patroon twee schijnbaar losse problemen oplost.</w:t>
      </w:r>
    </w:p>
    <w:p>
      <w:pPr>
        <w:spacing w:after="160" w:line="276"/>
      </w:pPr>
      <w:r>
        <w:rPr>
          <w:b/>
          <w:bCs/>
          <w:color w:val="1F2937"/>
          <w:sz w:val="22"/>
          <w:szCs w:val="22"/>
        </w:rPr>
        <w:t xml:space="preserve">Bewaak dat de groep de beslissing niet naar zich toetrekt.</w:t>
      </w:r>
      <w:r>
        <w:rPr>
          <w:color w:val="1F2937"/>
          <w:sz w:val="22"/>
          <w:szCs w:val="22"/>
        </w:rPr>
        <w:t xml:space="preserve"> De architect levert het patroon en benoemt de gevolgen; juridische zaken en de functionaris gegevensbescherming beslissen. Deelnemers die dat onderscheid hier oefenen, zijn in niveau 3 aanzienlijk beter voorbereid.</w:t>
      </w:r>
    </w:p>
    <w:p>
      <w:pPr>
        <w:pStyle w:val="Heading2"/>
        <w:spacing w:after="140" w:before="260"/>
      </w:pPr>
      <w:r>
        <w:rPr>
          <w:b/>
          <w:bCs/>
          <w:color w:val="4A6789"/>
          <w:sz w:val="24"/>
          <w:szCs w:val="24"/>
        </w:rPr>
        <w:t xml:space="preserve">3.7 Wanneer het niet loont (slide 29)</w:t>
      </w:r>
    </w:p>
    <w:p>
      <w:pPr>
        <w:spacing w:after="160" w:line="276"/>
      </w:pPr>
      <w:r>
        <w:rPr>
          <w:b/>
          <w:bCs/>
          <w:color w:val="1F2937"/>
          <w:sz w:val="22"/>
          <w:szCs w:val="22"/>
        </w:rPr>
        <w:t xml:space="preserve">Situatie 6 uit opdracht 14.6 is de eerlijkheidstoets: </w:t>
      </w:r>
      <w:r>
        <w:rPr>
          <w:color w:val="1F2937"/>
          <w:sz w:val="22"/>
          <w:szCs w:val="22"/>
        </w:rPr>
        <w:t xml:space="preserve">een team dat nooit met gebeurtenissen heeft gewerkt en over vier maanden live moet, gaat event sourcing half toepassen — en halfheid is hier duur, want een momentopname die iemand rechtstreeks bijwerkt geeft alle kosten en geen enkele garantie.</w:t>
      </w:r>
    </w:p>
    <w:p>
      <w:pPr>
        <w:spacing w:after="160" w:line="276"/>
      </w:pPr>
      <w:r>
        <w:rPr>
          <w:color w:val="1F2937"/>
          <w:sz w:val="22"/>
          <w:szCs w:val="22"/>
        </w:rPr>
        <w:t xml:space="preserve">Het verdedigbare pad is beginnen met niveau 2 op één gebied. Dat is het strangler-argument uit deel 13, toegepast op een denkwijze in plaats van op code — benoem die parallel.</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De enthousiasteling.</w:t>
      </w:r>
      <w:r>
        <w:rPr>
          <w:color w:val="1F2937"/>
          <w:sz w:val="22"/>
          <w:szCs w:val="22"/>
        </w:rPr>
        <w:t xml:space="preserve"> Er is vrijwel altijd één deelnemer die dit al wilde en de hele cursus als bevestiging leest. Gebruik hem: laat hem vertellen over zijn ervaring, en stel dan de vraag naar de kosten — versiebeheer van gebeurtenissen, de zeven jaar leescode, de projectieachterstand. Als hij die kent, hebt u een medestander voor de nuance; als hij ze niet kent, maakt het punt zichzelf.</w:t>
      </w:r>
    </w:p>
    <w:p>
      <w:pPr>
        <w:spacing w:after="160" w:line="276"/>
      </w:pPr>
      <w:r>
        <w:rPr>
          <w:b/>
          <w:bCs/>
          <w:color w:val="1F2937"/>
          <w:sz w:val="22"/>
          <w:szCs w:val="22"/>
        </w:rPr>
        <w:t xml:space="preserve">"Onze database heeft temporele tabellen, dat is toch hetzelfde?"</w:t>
      </w:r>
      <w:r>
        <w:rPr>
          <w:color w:val="1F2937"/>
          <w:sz w:val="22"/>
          <w:szCs w:val="22"/>
        </w:rPr>
        <w:t xml:space="preserve"> Goede vraag. Antwoord: temporele tabellen beantwoorden wat gold wanneer uitstekend en waarom helemaal niet. Voor een geschil over een pensioenrecht is de reden vaak beslissender dan de waarde. Voeg toe dat temporele tabellen een uitstekend en onderschat alternatief zijn — zij staan niet voor niets in de lijst van lichtere opties.</w:t>
      </w:r>
    </w:p>
    <w:p>
      <w:pPr>
        <w:spacing w:after="160" w:line="276"/>
      </w:pPr>
      <w:r>
        <w:rPr>
          <w:b/>
          <w:bCs/>
          <w:color w:val="1F2937"/>
          <w:sz w:val="22"/>
          <w:szCs w:val="22"/>
        </w:rPr>
        <w:t xml:space="preserve">De AVG-discussie loopt uit.</w:t>
      </w:r>
      <w:r>
        <w:rPr>
          <w:color w:val="1F2937"/>
          <w:sz w:val="22"/>
          <w:szCs w:val="22"/>
        </w:rPr>
        <w:t xml:space="preserve"> Bewaak de grens: wij behandelen het patroon, niet de juridische afweging. Als de groep de afweging wil voeren, is dat een teken dat er in hun organisatie geen duidelijkheid over is — en dat is bruikbare informatie voor hen, maar geen cursusonderwerp. Verwijs naar hun functionaris gegevensbescherming.</w:t>
      </w:r>
    </w:p>
    <w:p>
      <w:pPr>
        <w:spacing w:after="160" w:line="276"/>
      </w:pPr>
      <w:r>
        <w:rPr>
          <w:b/>
          <w:bCs/>
          <w:color w:val="1F2937"/>
          <w:sz w:val="22"/>
          <w:szCs w:val="22"/>
        </w:rPr>
        <w:t xml:space="preserve">"Dit kunnen wij nooit invoeren."</w:t>
      </w:r>
      <w:r>
        <w:rPr>
          <w:color w:val="1F2937"/>
          <w:sz w:val="22"/>
          <w:szCs w:val="22"/>
        </w:rPr>
        <w:t xml:space="preserve"> Vaak terecht, en het antwoord staat in 14.6: begin met een audittabel of niveau 2 op één gebied. Wie deze les meeneemt als "wij moeten event sourcing" heeft hem verkeerd begrepen; wie hem meeneemt als "onze parameters hebben geen historie en dat is een probleem", heeft er het meest aan.</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wil event sourcing systeembreed toepassen? Mist de investeringsredenering uit deel 11; dit voorspelt problemen in de certificeringsopdracht van niveau 3.</w:t>
      </w:r>
    </w:p>
    <w:p>
      <w:pPr>
        <w:pStyle w:val="ListParagraph"/>
        <w:numPr>
          <w:ilvl w:val="0"/>
          <w:numId w:val="5"/>
        </w:numPr>
        <w:spacing w:after="120"/>
      </w:pPr>
      <w:r>
        <w:rPr>
          <w:color w:val="1F2937"/>
          <w:sz w:val="22"/>
          <w:szCs w:val="22"/>
        </w:rPr>
        <w:t xml:space="preserve">Wie beantwoordt de grensvraag bij 14.5e technisch? Trekt beslissingen naar zich toe die elders horen — een terugkerend thema in niveau 3, deel 27.</w:t>
      </w:r>
    </w:p>
    <w:p>
      <w:pPr>
        <w:pStyle w:val="ListParagraph"/>
        <w:numPr>
          <w:ilvl w:val="0"/>
          <w:numId w:val="5"/>
        </w:numPr>
        <w:spacing w:after="120"/>
      </w:pPr>
      <w:r>
        <w:rPr>
          <w:color w:val="1F2937"/>
          <w:sz w:val="22"/>
          <w:szCs w:val="22"/>
        </w:rPr>
        <w:t xml:space="preserve">Wie noteert bij opdracht 14.3 maar één datum per gebeurtenis? Heeft de twee tijdlijnen niet begrepen, en dat is het meest onderscheidende inzicht van dit deel voor deze sector.</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14</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AL: het volledige verslag van de reconstructieproef, met per gevraagd gegeven de vindbaarheid</w:t>
      </w:r>
    </w:p>
    <w:p>
      <w:pPr>
        <w:pStyle w:val="ListParagraph"/>
        <w:numPr>
          <w:ilvl w:val="0"/>
          <w:numId w:val="3"/>
        </w:numPr>
        <w:spacing w:after="100"/>
      </w:pPr>
      <w:r>
        <w:rPr>
          <w:color w:val="1F2937"/>
          <w:sz w:val="22"/>
          <w:szCs w:val="22"/>
        </w:rPr>
        <w:t xml:space="preserve">Bijlage AM: de huidige audittabel met twintig regels van deelnemer 88123</w:t>
      </w:r>
    </w:p>
    <w:p>
      <w:pPr>
        <w:pStyle w:val="ListParagraph"/>
        <w:numPr>
          <w:ilvl w:val="0"/>
          <w:numId w:val="3"/>
        </w:numPr>
        <w:spacing w:after="100"/>
      </w:pPr>
      <w:r>
        <w:rPr>
          <w:color w:val="1F2937"/>
          <w:sz w:val="22"/>
          <w:szCs w:val="22"/>
        </w:rPr>
        <w:t xml:space="preserve">Bijlage AN: het behandelaarsscherm met alle velden en hun herkomst</w:t>
      </w:r>
    </w:p>
    <w:p>
      <w:pPr>
        <w:pStyle w:val="ListParagraph"/>
        <w:numPr>
          <w:ilvl w:val="0"/>
          <w:numId w:val="3"/>
        </w:numPr>
        <w:spacing w:after="100"/>
      </w:pPr>
      <w:r>
        <w:rPr>
          <w:color w:val="1F2937"/>
          <w:sz w:val="22"/>
          <w:szCs w:val="22"/>
        </w:rPr>
        <w:t xml:space="preserve">Bijlage AO: vier casussen rond correctie, terugwerkende kracht en verwijdering</w:t>
      </w:r>
    </w:p>
    <w:p>
      <w:pPr>
        <w:pStyle w:val="ListParagraph"/>
        <w:numPr>
          <w:ilvl w:val="0"/>
          <w:numId w:val="3"/>
        </w:numPr>
        <w:spacing w:after="100"/>
      </w:pPr>
      <w:r>
        <w:rPr>
          <w:color w:val="1F2937"/>
          <w:sz w:val="22"/>
          <w:szCs w:val="22"/>
        </w:rPr>
        <w:t xml:space="preserve">Het meetplan uit deel 6 van niveau 1 — deelnemers moeten zien dat deze proef daaruit voortkwam</w:t>
      </w:r>
    </w:p>
    <w:p>
      <w:pPr>
        <w:pStyle w:val="ListParagraph"/>
        <w:numPr>
          <w:ilvl w:val="0"/>
          <w:numId w:val="3"/>
        </w:numPr>
        <w:spacing w:after="100"/>
      </w:pPr>
      <w:r>
        <w:rPr>
          <w:color w:val="1F2937"/>
          <w:sz w:val="22"/>
          <w:szCs w:val="22"/>
        </w:rPr>
        <w:t xml:space="preserve">Grote vellen voor de gebeurtenissenstroom in opdracht 14.3; twee kolommen (vastgelegd / geldig) zijn functioneel</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15 behandelt cloud- en infrastructuurarchitectuur en beslaat twee dagdelen. De brug: we hebben nu een systeem met een afgesplitste conversiedienst, gebeurtenissen als bron, projecties die kunnen achterlopen en een outbox die betrouwbaar publiceert. Dat alles moet ergens draaien, uitgerold worden, en waarneembaar zijn — en die projectieachterstand die we vandaag als signaal benoemden, moet iemand ook werkelijk kunnen zien. Volgende keer: waar het draait, hoe het er komt, en hoe u weet wat het doet.</w:t>
      </w:r>
    </w:p>
    <w:p>
      <w:pPr>
        <w:pBdr>
          <w:top w:val="single" w:color="E5E7EB" w:sz="4" w:space="8"/>
        </w:pBdr>
        <w:spacing w:before="400"/>
        <w:jc w:val="center"/>
      </w:pPr>
      <w:r>
        <w:rPr>
          <w:i/>
          <w:iCs/>
          <w:color w:val="6B7280"/>
          <w:sz w:val="17"/>
          <w:szCs w:val="17"/>
        </w:rPr>
        <w:t xml:space="preserve">Ductus B.V. · Cursus Softwarearchitectuur · Niveau 2, deel 14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2026-08-17T14:07:57.969Z</dcterms:created>
  <dcterms:modified xsi:type="dcterms:W3CDTF">2026-08-17T14:07:57.971Z</dcterms:modified>
</cp:coreProperties>
</file>

<file path=docProps/custom.xml><?xml version="1.0" encoding="utf-8"?>
<Properties xmlns="http://schemas.openxmlformats.org/officeDocument/2006/custom-properties" xmlns:vt="http://schemas.openxmlformats.org/officeDocument/2006/docPropsVTypes"/>
</file>