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14 — Event sourcing en CQRS</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14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AL: het volledige verslag van de reconstructieproef uit week 12, met per gevraagd gegeven of het vindbaar was</w:t>
      </w:r>
    </w:p>
    <w:p>
      <w:pPr>
        <w:pStyle w:val="ListParagraph"/>
        <w:numPr>
          <w:ilvl w:val="0"/>
          <w:numId w:val="2"/>
        </w:numPr>
        <w:spacing w:after="100"/>
      </w:pPr>
      <w:r>
        <w:rPr>
          <w:color w:val="1F2937"/>
          <w:sz w:val="22"/>
          <w:szCs w:val="22"/>
        </w:rPr>
        <w:t xml:space="preserve">Bijlage AM: de audittabel zoals die nu bestaat, met twintig regels van deelnemer 88123</w:t>
      </w:r>
    </w:p>
    <w:p>
      <w:pPr>
        <w:pStyle w:val="ListParagraph"/>
        <w:numPr>
          <w:ilvl w:val="0"/>
          <w:numId w:val="2"/>
        </w:numPr>
        <w:spacing w:after="100"/>
      </w:pPr>
      <w:r>
        <w:rPr>
          <w:color w:val="1F2937"/>
          <w:sz w:val="22"/>
          <w:szCs w:val="22"/>
        </w:rPr>
        <w:t xml:space="preserve">Bijlage AN: het behandelaarsscherm met alle getoonde velden en hun herkomst</w:t>
      </w:r>
    </w:p>
    <w:p>
      <w:pPr>
        <w:pStyle w:val="ListParagraph"/>
        <w:numPr>
          <w:ilvl w:val="0"/>
          <w:numId w:val="2"/>
        </w:numPr>
        <w:spacing w:after="100"/>
      </w:pPr>
      <w:r>
        <w:rPr>
          <w:color w:val="1F2937"/>
          <w:sz w:val="22"/>
          <w:szCs w:val="22"/>
        </w:rPr>
        <w:t xml:space="preserve">Bijlage AO: vier casussen rond correctie, terugwerkende kracht en verwijdering</w:t>
      </w:r>
    </w:p>
    <w:p>
      <w:pPr>
        <w:pStyle w:val="ListParagraph"/>
        <w:numPr>
          <w:ilvl w:val="0"/>
          <w:numId w:val="2"/>
        </w:numPr>
        <w:spacing w:after="100"/>
      </w:pPr>
      <w:r>
        <w:rPr>
          <w:color w:val="1F2937"/>
          <w:sz w:val="22"/>
          <w:szCs w:val="22"/>
        </w:rPr>
        <w:t xml:space="preserve">Uw aggregaten uit deel 12</w:t>
      </w:r>
    </w:p>
    <w:p>
      <w:pPr>
        <w:pStyle w:val="Heading1"/>
        <w:pBdr>
          <w:bottom w:val="single" w:color="E5E7EB" w:sz="6" w:space="6"/>
        </w:pBdr>
        <w:spacing w:after="180" w:before="380"/>
      </w:pPr>
      <w:r>
        <w:rPr>
          <w:b/>
          <w:bCs/>
          <w:color w:val="1F3A5F"/>
          <w:sz w:val="30"/>
          <w:szCs w:val="30"/>
        </w:rPr>
        <w:t xml:space="preserve">Opdracht 14.1 — De mislukte reconstructie (individueel, 25 minuten)</w:t>
      </w:r>
    </w:p>
    <w:p>
      <w:pPr>
        <w:spacing w:after="160" w:line="276"/>
      </w:pPr>
      <w:r>
        <w:rPr>
          <w:color w:val="1F2937"/>
          <w:sz w:val="22"/>
          <w:szCs w:val="22"/>
        </w:rPr>
        <w:t xml:space="preserve">Bijlage AL bevat het proefverslag.</w:t>
      </w:r>
    </w:p>
    <w:p>
      <w:pPr>
        <w:pStyle w:val="ListParagraph"/>
        <w:numPr>
          <w:ilvl w:val="0"/>
          <w:numId w:val="2"/>
        </w:numPr>
        <w:spacing w:after="100"/>
      </w:pPr>
      <w:r>
        <w:rPr>
          <w:b/>
          <w:bCs/>
          <w:color w:val="1F2937"/>
          <w:sz w:val="22"/>
          <w:szCs w:val="22"/>
        </w:rPr>
        <w:t xml:space="preserve">a)</w:t>
      </w:r>
      <w:r>
        <w:rPr>
          <w:color w:val="1F2937"/>
          <w:sz w:val="22"/>
          <w:szCs w:val="22"/>
        </w:rPr>
        <w:t xml:space="preserve"> Maak een lijst van de gegevens die de tester nodig had om de vraag te beantwoorden. Welke waren vindbaar, welke niet?</w:t>
      </w:r>
    </w:p>
    <w:p>
      <w:pPr>
        <w:pStyle w:val="ListParagraph"/>
        <w:numPr>
          <w:ilvl w:val="0"/>
          <w:numId w:val="2"/>
        </w:numPr>
        <w:spacing w:after="100"/>
      </w:pPr>
      <w:r>
        <w:rPr>
          <w:b/>
          <w:bCs/>
          <w:color w:val="1F2937"/>
          <w:sz w:val="22"/>
          <w:szCs w:val="22"/>
        </w:rPr>
        <w:t xml:space="preserve">b)</w:t>
      </w:r>
      <w:r>
        <w:rPr>
          <w:color w:val="1F2937"/>
          <w:sz w:val="22"/>
          <w:szCs w:val="22"/>
        </w:rPr>
        <w:t xml:space="preserve"> Voor elk ontbrekend gegeven: waarom ontbrak het? Onderscheid nooit vastgelegd, overschreven, en vastgelegd maar niet herleidbaar naar het moment.</w:t>
      </w:r>
    </w:p>
    <w:p>
      <w:pPr>
        <w:pStyle w:val="ListParagraph"/>
        <w:numPr>
          <w:ilvl w:val="0"/>
          <w:numId w:val="2"/>
        </w:numPr>
        <w:spacing w:after="100"/>
      </w:pPr>
      <w:r>
        <w:rPr>
          <w:b/>
          <w:bCs/>
          <w:color w:val="1F2937"/>
          <w:sz w:val="22"/>
          <w:szCs w:val="22"/>
        </w:rPr>
        <w:t xml:space="preserve">c)</w:t>
      </w:r>
      <w:r>
        <w:rPr>
          <w:color w:val="1F2937"/>
          <w:sz w:val="22"/>
          <w:szCs w:val="22"/>
        </w:rPr>
        <w:t xml:space="preserve"> Bijlage AM bevat de audittabel. Waarom lost die het probleem niet op? Noem drie redenen.</w:t>
      </w:r>
    </w:p>
    <w:p>
      <w:pPr>
        <w:pStyle w:val="ListParagraph"/>
        <w:numPr>
          <w:ilvl w:val="0"/>
          <w:numId w:val="2"/>
        </w:numPr>
        <w:spacing w:after="100"/>
      </w:pPr>
      <w:r>
        <w:rPr>
          <w:b/>
          <w:bCs/>
          <w:color w:val="1F2937"/>
          <w:sz w:val="22"/>
          <w:szCs w:val="22"/>
        </w:rPr>
        <w:t xml:space="preserve">d)</w:t>
      </w:r>
      <w:r>
        <w:rPr>
          <w:color w:val="1F2937"/>
          <w:sz w:val="22"/>
          <w:szCs w:val="22"/>
        </w:rPr>
        <w:t xml:space="preserve"> Beantwoord: had een audittabel met óók de oude waarde het probleem opgelost? Zo nee, wat ontbreekt er dan nog?</w:t>
      </w:r>
    </w:p>
    <w:p>
      <w:pPr>
        <w:spacing w:after="160" w:line="276"/>
      </w:pPr>
      <w:r>
        <w:rPr>
          <w:color w:val="1F2937"/>
          <w:sz w:val="22"/>
          <w:szCs w:val="22"/>
        </w:rPr>
        <w:t xml:space="preserve">Onderdeel d) is de kern: het onderscheid tussen "wie wijzigde wat" en "wat gold er toen".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14.1</w:t>
            </w:r>
          </w:p>
          <w:p>
            <w:pPr>
              <w:spacing w:after="80"/>
            </w:pPr>
          </w:p>
          <w:p>
            <w:pPr>
              <w:spacing w:after="120" w:line="276"/>
            </w:pPr>
            <w:r>
              <w:rPr>
                <w:b/>
                <w:bCs/>
                <w:color w:val="1F2937"/>
                <w:sz w:val="21"/>
                <w:szCs w:val="21"/>
              </w:rPr>
              <w:t xml:space="preserve">a/b) Wat ontbrak, en waarom:</w:t>
            </w:r>
            <w:r>
              <w:rPr>
                <w:color w:val="1F2937"/>
                <w:sz w:val="21"/>
                <w:szCs w:val="21"/>
              </w:rPr>
              <w:t xml:space="preserve"/>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000"/>
              <w:gridCol w:w="1600"/>
              <w:gridCol w:w="4738"/>
            </w:tblGrid>
            <w:tr>
              <w:trPr>
                <w:tblHeader/>
              </w:trPr>
              <w:tc>
                <w:tcPr>
                  <w:tcW w:type="dxa" w:w="3000"/>
                  <w:shd w:fill="1F3A5F" w:val="clear"/>
                  <w:tcMar>
                    <w:top w:type="dxa" w:w="100"/>
                    <w:left w:type="dxa" w:w="120"/>
                    <w:bottom w:type="dxa" w:w="100"/>
                    <w:right w:type="dxa" w:w="120"/>
                  </w:tcMar>
                  <w:vAlign w:val="center"/>
                </w:tcPr>
                <w:p>
                  <w:r>
                    <w:rPr>
                      <w:b/>
                      <w:bCs/>
                      <w:color w:val="FFFFFF"/>
                      <w:sz w:val="19"/>
                      <w:szCs w:val="19"/>
                    </w:rPr>
                    <w:t xml:space="preserve">Gegeven</w:t>
                  </w:r>
                </w:p>
              </w:tc>
              <w:tc>
                <w:tcPr>
                  <w:tcW w:type="dxa" w:w="1600"/>
                  <w:shd w:fill="1F3A5F" w:val="clear"/>
                  <w:tcMar>
                    <w:top w:type="dxa" w:w="100"/>
                    <w:left w:type="dxa" w:w="120"/>
                    <w:bottom w:type="dxa" w:w="100"/>
                    <w:right w:type="dxa" w:w="120"/>
                  </w:tcMar>
                  <w:vAlign w:val="center"/>
                </w:tcPr>
                <w:p>
                  <w:r>
                    <w:rPr>
                      <w:b/>
                      <w:bCs/>
                      <w:color w:val="FFFFFF"/>
                      <w:sz w:val="19"/>
                      <w:szCs w:val="19"/>
                    </w:rPr>
                    <w:t xml:space="preserve">Status</w:t>
                  </w:r>
                </w:p>
              </w:tc>
              <w:tc>
                <w:tcPr>
                  <w:tcW w:type="dxa" w:w="4738"/>
                  <w:shd w:fill="1F3A5F" w:val="clear"/>
                  <w:tcMar>
                    <w:top w:type="dxa" w:w="100"/>
                    <w:left w:type="dxa" w:w="120"/>
                    <w:bottom w:type="dxa" w:w="100"/>
                    <w:right w:type="dxa" w:w="120"/>
                  </w:tcMar>
                  <w:vAlign w:val="center"/>
                </w:tcPr>
                <w:p>
                  <w:r>
                    <w:rPr>
                      <w:b/>
                      <w:bCs/>
                      <w:color w:val="FFFFFF"/>
                      <w:sz w:val="19"/>
                      <w:szCs w:val="19"/>
                    </w:rPr>
                    <w:t xml:space="preserve">Reden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Reglementparameters op 14 maart</w:t>
                  </w:r>
                </w:p>
              </w:tc>
              <w:tc>
                <w:tcPr>
                  <w:tcW w:type="dxa" w:w="1600"/>
                  <w:tcMar>
                    <w:top w:type="dxa" w:w="100"/>
                    <w:left w:type="dxa" w:w="120"/>
                    <w:bottom w:type="dxa" w:w="100"/>
                    <w:right w:type="dxa" w:w="120"/>
                  </w:tcMar>
                  <w:vAlign w:val="center"/>
                </w:tcPr>
                <w:p>
                  <w:r>
                    <w:rPr>
                      <w:b w:val="false"/>
                      <w:bCs w:val="false"/>
                      <w:color w:val="1F2937"/>
                      <w:sz w:val="19"/>
                      <w:szCs w:val="19"/>
                    </w:rPr>
                    <w:t xml:space="preserve">Ontbrak</w:t>
                  </w:r>
                </w:p>
              </w:tc>
              <w:tc>
                <w:tcPr>
                  <w:tcW w:type="dxa" w:w="4738"/>
                  <w:tcMar>
                    <w:top w:type="dxa" w:w="100"/>
                    <w:left w:type="dxa" w:w="120"/>
                    <w:bottom w:type="dxa" w:w="100"/>
                    <w:right w:type="dxa" w:w="120"/>
                  </w:tcMar>
                  <w:vAlign w:val="center"/>
                </w:tcPr>
                <w:p>
                  <w:r>
                    <w:rPr>
                      <w:b w:val="false"/>
                      <w:bCs w:val="false"/>
                      <w:color w:val="1F2937"/>
                      <w:sz w:val="19"/>
                      <w:szCs w:val="19"/>
                    </w:rPr>
                    <w:t xml:space="preserve">Overschreven — de tabel wordt bijgewerkt zonder historie</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Verificatiestatus adres op 14 maart</w:t>
                  </w:r>
                </w:p>
              </w:tc>
              <w:tc>
                <w:tcPr>
                  <w:tcW w:type="dxa" w:w="1600"/>
                  <w:tcMar>
                    <w:top w:type="dxa" w:w="100"/>
                    <w:left w:type="dxa" w:w="120"/>
                    <w:bottom w:type="dxa" w:w="100"/>
                    <w:right w:type="dxa" w:w="120"/>
                  </w:tcMar>
                  <w:vAlign w:val="center"/>
                </w:tcPr>
                <w:p>
                  <w:r>
                    <w:rPr>
                      <w:b w:val="false"/>
                      <w:bCs w:val="false"/>
                      <w:color w:val="1F2937"/>
                      <w:sz w:val="19"/>
                      <w:szCs w:val="19"/>
                    </w:rPr>
                    <w:t xml:space="preserve">Ontbrak</w:t>
                  </w:r>
                </w:p>
              </w:tc>
              <w:tc>
                <w:tcPr>
                  <w:tcW w:type="dxa" w:w="4738"/>
                  <w:tcMar>
                    <w:top w:type="dxa" w:w="100"/>
                    <w:left w:type="dxa" w:w="120"/>
                    <w:bottom w:type="dxa" w:w="100"/>
                    <w:right w:type="dxa" w:w="120"/>
                  </w:tcMar>
                  <w:vAlign w:val="center"/>
                </w:tcPr>
                <w:p>
                  <w:r>
                    <w:rPr>
                      <w:b w:val="false"/>
                      <w:bCs w:val="false"/>
                      <w:color w:val="1F2937"/>
                      <w:sz w:val="19"/>
                      <w:szCs w:val="19"/>
                    </w:rPr>
                    <w:t xml:space="preserve">Vastgelegd maar niet herleidbaar — de huidige status staat er, niet die van toen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Wie de berekening goedkeurde</w:t>
                  </w:r>
                </w:p>
              </w:tc>
              <w:tc>
                <w:tcPr>
                  <w:tcW w:type="dxa" w:w="1600"/>
                  <w:tcMar>
                    <w:top w:type="dxa" w:w="100"/>
                    <w:left w:type="dxa" w:w="120"/>
                    <w:bottom w:type="dxa" w:w="100"/>
                    <w:right w:type="dxa" w:w="120"/>
                  </w:tcMar>
                  <w:vAlign w:val="center"/>
                </w:tcPr>
                <w:p>
                  <w:r>
                    <w:rPr>
                      <w:b w:val="false"/>
                      <w:bCs w:val="false"/>
                      <w:color w:val="1F2937"/>
                      <w:sz w:val="19"/>
                      <w:szCs w:val="19"/>
                    </w:rPr>
                    <w:t xml:space="preserve">Vindbaar</w:t>
                  </w:r>
                </w:p>
              </w:tc>
              <w:tc>
                <w:tcPr>
                  <w:tcW w:type="dxa" w:w="4738"/>
                  <w:tcMar>
                    <w:top w:type="dxa" w:w="100"/>
                    <w:left w:type="dxa" w:w="120"/>
                    <w:bottom w:type="dxa" w:w="100"/>
                    <w:right w:type="dxa" w:w="120"/>
                  </w:tcMar>
                  <w:vAlign w:val="center"/>
                </w:tcPr>
                <w:p>
                  <w:r>
                    <w:rPr>
                      <w:b w:val="false"/>
                      <w:bCs w:val="false"/>
                      <w:color w:val="1F2937"/>
                      <w:sz w:val="19"/>
                      <w:szCs w:val="19"/>
                    </w:rPr>
                    <w:t xml:space="preserve">In de audittabel</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De gebruikte peildatum</w:t>
                  </w:r>
                </w:p>
              </w:tc>
              <w:tc>
                <w:tcPr>
                  <w:tcW w:type="dxa" w:w="1600"/>
                  <w:tcMar>
                    <w:top w:type="dxa" w:w="100"/>
                    <w:left w:type="dxa" w:w="120"/>
                    <w:bottom w:type="dxa" w:w="100"/>
                    <w:right w:type="dxa" w:w="120"/>
                  </w:tcMar>
                  <w:vAlign w:val="center"/>
                </w:tcPr>
                <w:p>
                  <w:r>
                    <w:rPr>
                      <w:b w:val="false"/>
                      <w:bCs w:val="false"/>
                      <w:color w:val="1F2937"/>
                      <w:sz w:val="19"/>
                      <w:szCs w:val="19"/>
                    </w:rPr>
                    <w:t xml:space="preserve">Ontbrak</w:t>
                  </w:r>
                </w:p>
              </w:tc>
              <w:tc>
                <w:tcPr>
                  <w:tcW w:type="dxa" w:w="4738"/>
                  <w:tcMar>
                    <w:top w:type="dxa" w:w="100"/>
                    <w:left w:type="dxa" w:w="120"/>
                    <w:bottom w:type="dxa" w:w="100"/>
                    <w:right w:type="dxa" w:w="120"/>
                  </w:tcMar>
                  <w:vAlign w:val="center"/>
                </w:tcPr>
                <w:p>
                  <w:r>
                    <w:rPr>
                      <w:b w:val="false"/>
                      <w:bCs w:val="false"/>
                      <w:color w:val="1F2937"/>
                      <w:sz w:val="19"/>
                      <w:szCs w:val="19"/>
                    </w:rPr>
                    <w:t xml:space="preserve">Nooit vastgelegd — zij werd afgeleid en niet bewaard</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Het uitgekeerde bedrag</w:t>
                  </w:r>
                </w:p>
              </w:tc>
              <w:tc>
                <w:tcPr>
                  <w:tcW w:type="dxa" w:w="1600"/>
                  <w:tcMar>
                    <w:top w:type="dxa" w:w="100"/>
                    <w:left w:type="dxa" w:w="120"/>
                    <w:bottom w:type="dxa" w:w="100"/>
                    <w:right w:type="dxa" w:w="120"/>
                  </w:tcMar>
                  <w:vAlign w:val="center"/>
                </w:tcPr>
                <w:p>
                  <w:r>
                    <w:rPr>
                      <w:b w:val="false"/>
                      <w:bCs w:val="false"/>
                      <w:color w:val="1F2937"/>
                      <w:sz w:val="19"/>
                      <w:szCs w:val="19"/>
                    </w:rPr>
                    <w:t xml:space="preserve">Vindbaar</w:t>
                  </w:r>
                </w:p>
              </w:tc>
              <w:tc>
                <w:tcPr>
                  <w:tcW w:type="dxa" w:w="47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Of de deelnemer toen partner had</w:t>
                  </w:r>
                </w:p>
              </w:tc>
              <w:tc>
                <w:tcPr>
                  <w:tcW w:type="dxa" w:w="1600"/>
                  <w:tcMar>
                    <w:top w:type="dxa" w:w="100"/>
                    <w:left w:type="dxa" w:w="120"/>
                    <w:bottom w:type="dxa" w:w="100"/>
                    <w:right w:type="dxa" w:w="120"/>
                  </w:tcMar>
                  <w:vAlign w:val="center"/>
                </w:tcPr>
                <w:p>
                  <w:r>
                    <w:rPr>
                      <w:b w:val="false"/>
                      <w:bCs w:val="false"/>
                      <w:color w:val="1F2937"/>
                      <w:sz w:val="19"/>
                      <w:szCs w:val="19"/>
                    </w:rPr>
                    <w:t xml:space="preserve">Ontbrak</w:t>
                  </w:r>
                </w:p>
              </w:tc>
              <w:tc>
                <w:tcPr>
                  <w:tcW w:type="dxa" w:w="4738"/>
                  <w:tcMar>
                    <w:top w:type="dxa" w:w="100"/>
                    <w:left w:type="dxa" w:w="120"/>
                    <w:bottom w:type="dxa" w:w="100"/>
                    <w:right w:type="dxa" w:w="120"/>
                  </w:tcMar>
                  <w:vAlign w:val="center"/>
                </w:tcPr>
                <w:p>
                  <w:r>
                    <w:rPr>
                      <w:b w:val="false"/>
                      <w:bCs w:val="false"/>
                      <w:color w:val="1F2937"/>
                      <w:sz w:val="19"/>
                      <w:szCs w:val="19"/>
                    </w:rPr>
                    <w:t xml:space="preserve">Overschreven bij de latere scheidingsmutatie</w:t>
                  </w:r>
                </w:p>
              </w:tc>
            </w:tr>
          </w:tbl>
          <w:p>
            <w:pPr>
              <w:spacing w:after="100"/>
            </w:pPr>
          </w:p>
          <w:p>
            <w:pPr>
              <w:spacing w:after="120" w:line="276"/>
            </w:pPr>
            <w:r>
              <w:rPr>
                <w:b/>
                <w:bCs/>
                <w:color w:val="1F2937"/>
                <w:sz w:val="21"/>
                <w:szCs w:val="21"/>
              </w:rPr>
              <w:t xml:space="preserve">c) Waarom de audittabel het niet oplost — drie redenen:</w:t>
            </w:r>
            <w:r>
              <w:rPr>
                <w:color w:val="1F2937"/>
                <w:sz w:val="21"/>
                <w:szCs w:val="21"/>
              </w:rPr>
              <w:t xml:space="preserve"/>
            </w:r>
          </w:p>
          <w:p>
            <w:pPr>
              <w:pStyle w:val="ListParagraph"/>
              <w:numPr>
                <w:ilvl w:val="0"/>
                <w:numId w:val="3"/>
              </w:numPr>
              <w:spacing w:after="120"/>
            </w:pPr>
            <w:r>
              <w:rPr>
                <w:color w:val="1F2937"/>
                <w:sz w:val="22"/>
                <w:szCs w:val="22"/>
              </w:rPr>
              <w:t xml:space="preserve">Zij legt alleen de nieuwe waarde vast, niet de oude, dus u kunt niet terugrekenen.</w:t>
            </w:r>
          </w:p>
          <w:p>
            <w:pPr>
              <w:pStyle w:val="ListParagraph"/>
              <w:numPr>
                <w:ilvl w:val="0"/>
                <w:numId w:val="3"/>
              </w:numPr>
              <w:spacing w:after="120"/>
            </w:pPr>
            <w:r>
              <w:rPr>
                <w:color w:val="1F2937"/>
                <w:sz w:val="22"/>
                <w:szCs w:val="22"/>
              </w:rPr>
              <w:t xml:space="preserve">Zij dekt alleen de tabellen waarop iemand audit heeft ingericht. De reglementparametertabel viel erbuiten, want die is "configuratie" — precies de classificatiefout uit deel 8 van niveau 1.</w:t>
            </w:r>
          </w:p>
          <w:p>
            <w:pPr>
              <w:pStyle w:val="ListParagraph"/>
              <w:numPr>
                <w:ilvl w:val="0"/>
                <w:numId w:val="3"/>
              </w:numPr>
              <w:spacing w:after="120"/>
            </w:pPr>
            <w:r>
              <w:rPr>
                <w:color w:val="1F2937"/>
                <w:sz w:val="22"/>
                <w:szCs w:val="22"/>
              </w:rPr>
              <w:t xml:space="preserve">Zij legt wijzigingen vast, geen betekenis. Dat een waarde veranderde van A naar B, zegt niet of dat een correctie, een verhuizing of een reglementswijziging was — en die drie hebben verschillende administratieve gevolgen.</w:t>
            </w:r>
          </w:p>
          <w:p>
            <w:pPr>
              <w:spacing w:after="100"/>
            </w:pPr>
          </w:p>
          <w:p>
            <w:pPr>
              <w:spacing w:after="120" w:line="276"/>
            </w:pPr>
            <w:r>
              <w:rPr>
                <w:b/>
                <w:bCs/>
                <w:color w:val="1F2937"/>
                <w:sz w:val="21"/>
                <w:szCs w:val="21"/>
              </w:rPr>
              <w:t xml:space="preserve">d) </w:t>
            </w:r>
            <w:r>
              <w:rPr>
                <w:color w:val="1F2937"/>
                <w:sz w:val="21"/>
                <w:szCs w:val="21"/>
              </w:rPr>
              <w:t xml:space="preserve">Een audittabel mét oude waarde lost reden 1 op en reden 2 en 3 niet. Het diepere probleem is dat een audittabel "wie wijzigde wat" beantwoordt en niet "wat gold er toen".</w:t>
            </w:r>
          </w:p>
          <w:p>
            <w:pPr>
              <w:spacing w:after="120" w:line="276"/>
            </w:pPr>
            <w:r>
              <w:rPr>
                <w:color w:val="1F2937"/>
                <w:sz w:val="21"/>
                <w:szCs w:val="21"/>
              </w:rPr>
              <w:t xml:space="preserve">Dat verschil is precies waarom de proef op 70% strandde: de tester kon zien wie wat wanneer had gewijzigd en kon niet de toestand van 14 maart reconstrueren.</w:t>
            </w:r>
          </w:p>
        </w:tc>
      </w:tr>
    </w:tbl>
    <w:p>
      <w:pPr>
        <w:spacing w:after="300"/>
      </w:pPr>
    </w:p>
    <w:p>
      <w:pPr>
        <w:pStyle w:val="Heading1"/>
        <w:pBdr>
          <w:bottom w:val="single" w:color="E5E7EB" w:sz="6" w:space="6"/>
        </w:pBdr>
        <w:spacing w:after="180" w:before="380"/>
      </w:pPr>
      <w:r>
        <w:rPr>
          <w:b/>
          <w:bCs/>
          <w:color w:val="1F3A5F"/>
          <w:sz w:val="30"/>
          <w:szCs w:val="30"/>
        </w:rPr>
        <w:t xml:space="preserve">Opdracht 14.2 — Welk niveau kiest u waar? (duo's, 25 minuten)</w:t>
      </w:r>
    </w:p>
    <w:p>
      <w:pPr>
        <w:spacing w:after="160" w:line="276"/>
      </w:pPr>
      <w:r>
        <w:rPr>
          <w:color w:val="1F2937"/>
          <w:sz w:val="22"/>
          <w:szCs w:val="22"/>
        </w:rPr>
        <w:t xml:space="preserve">Bepaal per gebied van Mutatie 2.0 welk niveau van gebeurtenisgebruik u kiest — bericht, geschiedenis of event sourcing — en motiveer.</w:t>
      </w:r>
    </w:p>
    <w:p>
      <w:pPr>
        <w:pStyle w:val="ListParagraph"/>
        <w:numPr>
          <w:ilvl w:val="0"/>
          <w:numId w:val="4"/>
        </w:numPr>
        <w:spacing w:after="120"/>
      </w:pPr>
      <w:r>
        <w:rPr>
          <w:color w:val="1F2937"/>
          <w:sz w:val="22"/>
          <w:szCs w:val="22"/>
        </w:rPr>
        <w:t xml:space="preserve">Mutatieverwerking (statusstromen, goedkeuringen)</w:t>
      </w:r>
    </w:p>
    <w:p>
      <w:pPr>
        <w:pStyle w:val="ListParagraph"/>
        <w:numPr>
          <w:ilvl w:val="0"/>
          <w:numId w:val="4"/>
        </w:numPr>
        <w:spacing w:after="120"/>
      </w:pPr>
      <w:r>
        <w:rPr>
          <w:color w:val="1F2937"/>
          <w:sz w:val="22"/>
          <w:szCs w:val="22"/>
        </w:rPr>
        <w:t xml:space="preserve">Reglementaire rechtenbepaling</w:t>
      </w:r>
    </w:p>
    <w:p>
      <w:pPr>
        <w:pStyle w:val="ListParagraph"/>
        <w:numPr>
          <w:ilvl w:val="0"/>
          <w:numId w:val="4"/>
        </w:numPr>
        <w:spacing w:after="120"/>
      </w:pPr>
      <w:r>
        <w:rPr>
          <w:color w:val="1F2937"/>
          <w:sz w:val="22"/>
          <w:szCs w:val="22"/>
        </w:rPr>
        <w:t xml:space="preserve">Werkgeversaanlevering en conversie</w:t>
      </w:r>
    </w:p>
    <w:p>
      <w:pPr>
        <w:pStyle w:val="ListParagraph"/>
        <w:numPr>
          <w:ilvl w:val="0"/>
          <w:numId w:val="4"/>
        </w:numPr>
        <w:spacing w:after="120"/>
      </w:pPr>
      <w:r>
        <w:rPr>
          <w:color w:val="1F2937"/>
          <w:sz w:val="22"/>
          <w:szCs w:val="22"/>
        </w:rPr>
        <w:t xml:space="preserve">Correspondentie: welke brief wanneer verzonden</w:t>
      </w:r>
    </w:p>
    <w:p>
      <w:pPr>
        <w:pStyle w:val="ListParagraph"/>
        <w:numPr>
          <w:ilvl w:val="0"/>
          <w:numId w:val="4"/>
        </w:numPr>
        <w:spacing w:after="120"/>
      </w:pPr>
      <w:r>
        <w:rPr>
          <w:color w:val="1F2937"/>
          <w:sz w:val="22"/>
          <w:szCs w:val="22"/>
        </w:rPr>
        <w:t xml:space="preserve">Voorkeursinstellingen van de deelnemer (taal, kanaal)</w:t>
      </w:r>
    </w:p>
    <w:p>
      <w:pPr>
        <w:pStyle w:val="ListParagraph"/>
        <w:numPr>
          <w:ilvl w:val="0"/>
          <w:numId w:val="4"/>
        </w:numPr>
        <w:spacing w:after="120"/>
      </w:pPr>
      <w:r>
        <w:rPr>
          <w:color w:val="1F2937"/>
          <w:sz w:val="22"/>
          <w:szCs w:val="22"/>
        </w:rPr>
        <w:t xml:space="preserve">Toegangsverlening: wie kreeg wanneer welk recht</w:t>
      </w:r>
    </w:p>
    <w:p>
      <w:pPr>
        <w:pStyle w:val="ListParagraph"/>
        <w:numPr>
          <w:ilvl w:val="0"/>
          <w:numId w:val="4"/>
        </w:numPr>
        <w:spacing w:after="120"/>
      </w:pPr>
      <w:r>
        <w:rPr>
          <w:color w:val="1F2937"/>
          <w:sz w:val="22"/>
          <w:szCs w:val="22"/>
        </w:rPr>
        <w:t xml:space="preserve">De reglementparameters per werkgever</w:t>
      </w:r>
    </w:p>
    <w:p>
      <w:pPr>
        <w:spacing w:after="160" w:line="276"/>
      </w:pPr>
      <w:r>
        <w:rPr>
          <w:color w:val="1F2937"/>
          <w:sz w:val="22"/>
          <w:szCs w:val="22"/>
        </w:rPr>
        <w:t xml:space="preserve">Onderdeel 7 is het gebied waarop de reconstructieproef strandde. Welk niveau is daar minimaal nodig, en waarom is dat een verrassende plek voor deze investering?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14.2</w:t>
            </w:r>
          </w:p>
          <w:p>
            <w:pPr>
              <w:spacing w:after="80"/>
            </w:pPr>
          </w:p>
          <w:tbl>
            <w:tblPr>
              <w:tblW w:type="dxa" w:w="8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800"/>
              <w:gridCol w:w="2300"/>
              <w:gridCol w:w="31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800"/>
                  <w:shd w:fill="1F3A5F" w:val="clear"/>
                  <w:tcMar>
                    <w:top w:type="dxa" w:w="100"/>
                    <w:left w:type="dxa" w:w="120"/>
                    <w:bottom w:type="dxa" w:w="100"/>
                    <w:right w:type="dxa" w:w="120"/>
                  </w:tcMar>
                  <w:vAlign w:val="center"/>
                </w:tcPr>
                <w:p>
                  <w:r>
                    <w:rPr>
                      <w:b/>
                      <w:bCs/>
                      <w:color w:val="FFFFFF"/>
                      <w:sz w:val="19"/>
                      <w:szCs w:val="19"/>
                    </w:rPr>
                    <w:t xml:space="preserve">Gebied</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Niveau</w:t>
                  </w:r>
                </w:p>
              </w:tc>
              <w:tc>
                <w:tcPr>
                  <w:tcW w:type="dxa" w:w="3138"/>
                  <w:shd w:fill="1F3A5F" w:val="clear"/>
                  <w:tcMar>
                    <w:top w:type="dxa" w:w="100"/>
                    <w:left w:type="dxa" w:w="120"/>
                    <w:bottom w:type="dxa" w:w="100"/>
                    <w:right w:type="dxa" w:w="120"/>
                  </w:tcMar>
                  <w:vAlign w:val="center"/>
                </w:tcPr>
                <w:p>
                  <w:r>
                    <w:rPr>
                      <w:b/>
                      <w:bCs/>
                      <w:color w:val="FFFFFF"/>
                      <w:sz w:val="19"/>
                      <w:szCs w:val="19"/>
                    </w:rPr>
                    <w:t xml:space="preserve">Motivering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800"/>
                  <w:tcMar>
                    <w:top w:type="dxa" w:w="100"/>
                    <w:left w:type="dxa" w:w="120"/>
                    <w:bottom w:type="dxa" w:w="100"/>
                    <w:right w:type="dxa" w:w="120"/>
                  </w:tcMar>
                  <w:vAlign w:val="center"/>
                </w:tcPr>
                <w:p>
                  <w:r>
                    <w:rPr>
                      <w:b w:val="false"/>
                      <w:bCs w:val="false"/>
                      <w:color w:val="1F2937"/>
                      <w:sz w:val="19"/>
                      <w:szCs w:val="19"/>
                    </w:rPr>
                    <w:t xml:space="preserve">Mutatieverwerking</w:t>
                  </w:r>
                </w:p>
              </w:tc>
              <w:tc>
                <w:tcPr>
                  <w:tcW w:type="dxa" w:w="2300"/>
                  <w:tcMar>
                    <w:top w:type="dxa" w:w="100"/>
                    <w:left w:type="dxa" w:w="120"/>
                    <w:bottom w:type="dxa" w:w="100"/>
                    <w:right w:type="dxa" w:w="120"/>
                  </w:tcMar>
                  <w:vAlign w:val="center"/>
                </w:tcPr>
                <w:p>
                  <w:r>
                    <w:rPr>
                      <w:b w:val="false"/>
                      <w:bCs w:val="false"/>
                      <w:color w:val="1F2937"/>
                      <w:sz w:val="19"/>
                      <w:szCs w:val="19"/>
                    </w:rPr>
                    <w:t xml:space="preserve">Event sourcing</w:t>
                  </w:r>
                </w:p>
              </w:tc>
              <w:tc>
                <w:tcPr>
                  <w:tcW w:type="dxa" w:w="3138"/>
                  <w:tcMar>
                    <w:top w:type="dxa" w:w="100"/>
                    <w:left w:type="dxa" w:w="120"/>
                    <w:bottom w:type="dxa" w:w="100"/>
                    <w:right w:type="dxa" w:w="120"/>
                  </w:tcMar>
                  <w:vAlign w:val="center"/>
                </w:tcPr>
                <w:p>
                  <w:r>
                    <w:rPr>
                      <w:b w:val="false"/>
                      <w:bCs w:val="false"/>
                      <w:color w:val="1F2937"/>
                      <w:sz w:val="19"/>
                      <w:szCs w:val="19"/>
                    </w:rPr>
                    <w:t xml:space="preserve">Kerndomein; QS-4 vraagt volledige reconstructie inclusief goedkeurder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800"/>
                  <w:tcMar>
                    <w:top w:type="dxa" w:w="100"/>
                    <w:left w:type="dxa" w:w="120"/>
                    <w:bottom w:type="dxa" w:w="100"/>
                    <w:right w:type="dxa" w:w="120"/>
                  </w:tcMar>
                  <w:vAlign w:val="center"/>
                </w:tcPr>
                <w:p>
                  <w:r>
                    <w:rPr>
                      <w:b w:val="false"/>
                      <w:bCs w:val="false"/>
                      <w:color w:val="1F2937"/>
                      <w:sz w:val="19"/>
                      <w:szCs w:val="19"/>
                    </w:rPr>
                    <w:t xml:space="preserve">Rechtenbepaling</w:t>
                  </w:r>
                </w:p>
              </w:tc>
              <w:tc>
                <w:tcPr>
                  <w:tcW w:type="dxa" w:w="2300"/>
                  <w:tcMar>
                    <w:top w:type="dxa" w:w="100"/>
                    <w:left w:type="dxa" w:w="120"/>
                    <w:bottom w:type="dxa" w:w="100"/>
                    <w:right w:type="dxa" w:w="120"/>
                  </w:tcMar>
                  <w:vAlign w:val="center"/>
                </w:tcPr>
                <w:p>
                  <w:r>
                    <w:rPr>
                      <w:b w:val="false"/>
                      <w:bCs w:val="false"/>
                      <w:color w:val="1F2937"/>
                      <w:sz w:val="19"/>
                      <w:szCs w:val="19"/>
                    </w:rPr>
                    <w:t xml:space="preserve">Event sourcing</w:t>
                  </w:r>
                </w:p>
              </w:tc>
              <w:tc>
                <w:tcPr>
                  <w:tcW w:type="dxa" w:w="3138"/>
                  <w:tcMar>
                    <w:top w:type="dxa" w:w="100"/>
                    <w:left w:type="dxa" w:w="120"/>
                    <w:bottom w:type="dxa" w:w="100"/>
                    <w:right w:type="dxa" w:w="120"/>
                  </w:tcMar>
                  <w:vAlign w:val="center"/>
                </w:tcPr>
                <w:p>
                  <w:r>
                    <w:rPr>
                      <w:b w:val="false"/>
                      <w:bCs w:val="false"/>
                      <w:color w:val="1F2937"/>
                      <w:sz w:val="19"/>
                      <w:szCs w:val="19"/>
                    </w:rPr>
                    <w:t xml:space="preserve">Kerndomein; hier ontstaan de bedragen waarover geschillen gaan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800"/>
                  <w:tcMar>
                    <w:top w:type="dxa" w:w="100"/>
                    <w:left w:type="dxa" w:w="120"/>
                    <w:bottom w:type="dxa" w:w="100"/>
                    <w:right w:type="dxa" w:w="120"/>
                  </w:tcMar>
                  <w:vAlign w:val="center"/>
                </w:tcPr>
                <w:p>
                  <w:r>
                    <w:rPr>
                      <w:b w:val="false"/>
                      <w:bCs w:val="false"/>
                      <w:color w:val="1F2937"/>
                      <w:sz w:val="19"/>
                      <w:szCs w:val="19"/>
                    </w:rPr>
                    <w:t xml:space="preserve">Werkgeversaanlevering</w:t>
                  </w:r>
                </w:p>
              </w:tc>
              <w:tc>
                <w:tcPr>
                  <w:tcW w:type="dxa" w:w="2300"/>
                  <w:tcMar>
                    <w:top w:type="dxa" w:w="100"/>
                    <w:left w:type="dxa" w:w="120"/>
                    <w:bottom w:type="dxa" w:w="100"/>
                    <w:right w:type="dxa" w:w="120"/>
                  </w:tcMar>
                  <w:vAlign w:val="center"/>
                </w:tcPr>
                <w:p>
                  <w:r>
                    <w:rPr>
                      <w:b w:val="false"/>
                      <w:bCs w:val="false"/>
                      <w:color w:val="1F2937"/>
                      <w:sz w:val="19"/>
                      <w:szCs w:val="19"/>
                    </w:rPr>
                    <w:t xml:space="preserve">Geschiedenis (niveau 2)</w:t>
                  </w:r>
                </w:p>
              </w:tc>
              <w:tc>
                <w:tcPr>
                  <w:tcW w:type="dxa" w:w="3138"/>
                  <w:tcMar>
                    <w:top w:type="dxa" w:w="100"/>
                    <w:left w:type="dxa" w:w="120"/>
                    <w:bottom w:type="dxa" w:w="100"/>
                    <w:right w:type="dxa" w:w="120"/>
                  </w:tcMar>
                  <w:vAlign w:val="center"/>
                </w:tcPr>
                <w:p>
                  <w:r>
                    <w:rPr>
                      <w:b w:val="false"/>
                      <w:bCs w:val="false"/>
                      <w:color w:val="1F2937"/>
                      <w:sz w:val="19"/>
                      <w:szCs w:val="19"/>
                    </w:rPr>
                    <w:t xml:space="preserve">Terugkijken nodig (welke batch bevatte wat), toestandsopbouw niet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800"/>
                  <w:tcMar>
                    <w:top w:type="dxa" w:w="100"/>
                    <w:left w:type="dxa" w:w="120"/>
                    <w:bottom w:type="dxa" w:w="100"/>
                    <w:right w:type="dxa" w:w="120"/>
                  </w:tcMar>
                  <w:vAlign w:val="center"/>
                </w:tcPr>
                <w:p>
                  <w:r>
                    <w:rPr>
                      <w:b w:val="false"/>
                      <w:bCs w:val="false"/>
                      <w:color w:val="1F2937"/>
                      <w:sz w:val="19"/>
                      <w:szCs w:val="19"/>
                    </w:rPr>
                    <w:t xml:space="preserve">Correspondentie</w:t>
                  </w:r>
                </w:p>
              </w:tc>
              <w:tc>
                <w:tcPr>
                  <w:tcW w:type="dxa" w:w="2300"/>
                  <w:tcMar>
                    <w:top w:type="dxa" w:w="100"/>
                    <w:left w:type="dxa" w:w="120"/>
                    <w:bottom w:type="dxa" w:w="100"/>
                    <w:right w:type="dxa" w:w="120"/>
                  </w:tcMar>
                  <w:vAlign w:val="center"/>
                </w:tcPr>
                <w:p>
                  <w:r>
                    <w:rPr>
                      <w:b w:val="false"/>
                      <w:bCs w:val="false"/>
                      <w:color w:val="1F2937"/>
                      <w:sz w:val="19"/>
                      <w:szCs w:val="19"/>
                    </w:rPr>
                    <w:t xml:space="preserve">Geschiedenis</w:t>
                  </w:r>
                </w:p>
              </w:tc>
              <w:tc>
                <w:tcPr>
                  <w:tcW w:type="dxa" w:w="3138"/>
                  <w:tcMar>
                    <w:top w:type="dxa" w:w="100"/>
                    <w:left w:type="dxa" w:w="120"/>
                    <w:bottom w:type="dxa" w:w="100"/>
                    <w:right w:type="dxa" w:w="120"/>
                  </w:tcMar>
                  <w:vAlign w:val="center"/>
                </w:tcPr>
                <w:p>
                  <w:r>
                    <w:rPr>
                      <w:b w:val="false"/>
                      <w:bCs w:val="false"/>
                      <w:color w:val="1F2937"/>
                      <w:sz w:val="19"/>
                      <w:szCs w:val="19"/>
                    </w:rPr>
                    <w:t xml:space="preserve">"Welke brief is wanneer verzonden" is een bewijsvraag; de sjabloonlogica niet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800"/>
                  <w:tcMar>
                    <w:top w:type="dxa" w:w="100"/>
                    <w:left w:type="dxa" w:w="120"/>
                    <w:bottom w:type="dxa" w:w="100"/>
                    <w:right w:type="dxa" w:w="120"/>
                  </w:tcMar>
                  <w:vAlign w:val="center"/>
                </w:tcPr>
                <w:p>
                  <w:r>
                    <w:rPr>
                      <w:b w:val="false"/>
                      <w:bCs w:val="false"/>
                      <w:color w:val="1F2937"/>
                      <w:sz w:val="19"/>
                      <w:szCs w:val="19"/>
                    </w:rPr>
                    <w:t xml:space="preserve">Voorkeursinstellingen</w:t>
                  </w:r>
                </w:p>
              </w:tc>
              <w:tc>
                <w:tcPr>
                  <w:tcW w:type="dxa" w:w="2300"/>
                  <w:tcMar>
                    <w:top w:type="dxa" w:w="100"/>
                    <w:left w:type="dxa" w:w="120"/>
                    <w:bottom w:type="dxa" w:w="100"/>
                    <w:right w:type="dxa" w:w="120"/>
                  </w:tcMar>
                  <w:vAlign w:val="center"/>
                </w:tcPr>
                <w:p>
                  <w:r>
                    <w:rPr>
                      <w:b w:val="false"/>
                      <w:bCs w:val="false"/>
                      <w:color w:val="1F2937"/>
                      <w:sz w:val="19"/>
                      <w:szCs w:val="19"/>
                    </w:rPr>
                    <w:t xml:space="preserve">Bericht of niets</w:t>
                  </w:r>
                </w:p>
              </w:tc>
              <w:tc>
                <w:tcPr>
                  <w:tcW w:type="dxa" w:w="3138"/>
                  <w:tcMar>
                    <w:top w:type="dxa" w:w="100"/>
                    <w:left w:type="dxa" w:w="120"/>
                    <w:bottom w:type="dxa" w:w="100"/>
                    <w:right w:type="dxa" w:w="120"/>
                  </w:tcMar>
                  <w:vAlign w:val="center"/>
                </w:tcPr>
                <w:p>
                  <w:r>
                    <w:rPr>
                      <w:b w:val="false"/>
                      <w:bCs w:val="false"/>
                      <w:color w:val="1F2937"/>
                      <w:sz w:val="19"/>
                      <w:szCs w:val="19"/>
                    </w:rPr>
                    <w:t xml:space="preserve">Geen bewijswaarde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800"/>
                  <w:tcMar>
                    <w:top w:type="dxa" w:w="100"/>
                    <w:left w:type="dxa" w:w="120"/>
                    <w:bottom w:type="dxa" w:w="100"/>
                    <w:right w:type="dxa" w:w="120"/>
                  </w:tcMar>
                  <w:vAlign w:val="center"/>
                </w:tcPr>
                <w:p>
                  <w:r>
                    <w:rPr>
                      <w:b w:val="false"/>
                      <w:bCs w:val="false"/>
                      <w:color w:val="1F2937"/>
                      <w:sz w:val="19"/>
                      <w:szCs w:val="19"/>
                    </w:rPr>
                    <w:t xml:space="preserve">Toegangsverlening</w:t>
                  </w:r>
                </w:p>
              </w:tc>
              <w:tc>
                <w:tcPr>
                  <w:tcW w:type="dxa" w:w="2300"/>
                  <w:tcMar>
                    <w:top w:type="dxa" w:w="100"/>
                    <w:left w:type="dxa" w:w="120"/>
                    <w:bottom w:type="dxa" w:w="100"/>
                    <w:right w:type="dxa" w:w="120"/>
                  </w:tcMar>
                  <w:vAlign w:val="center"/>
                </w:tcPr>
                <w:p>
                  <w:r>
                    <w:rPr>
                      <w:b w:val="false"/>
                      <w:bCs w:val="false"/>
                      <w:color w:val="1F2937"/>
                      <w:sz w:val="19"/>
                      <w:szCs w:val="19"/>
                    </w:rPr>
                    <w:t xml:space="preserve">Geschiedenis</w:t>
                  </w:r>
                </w:p>
              </w:tc>
              <w:tc>
                <w:tcPr>
                  <w:tcW w:type="dxa" w:w="3138"/>
                  <w:tcMar>
                    <w:top w:type="dxa" w:w="100"/>
                    <w:left w:type="dxa" w:w="120"/>
                    <w:bottom w:type="dxa" w:w="100"/>
                    <w:right w:type="dxa" w:w="120"/>
                  </w:tcMar>
                  <w:vAlign w:val="center"/>
                </w:tcPr>
                <w:p>
                  <w:r>
                    <w:rPr>
                      <w:b w:val="false"/>
                      <w:bCs w:val="false"/>
                      <w:color w:val="1F2937"/>
                      <w:sz w:val="19"/>
                      <w:szCs w:val="19"/>
                    </w:rPr>
                    <w:t xml:space="preserve">Compliance wil weten wie wanneer welk recht had; toestand is eenvoudig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800"/>
                  <w:tcMar>
                    <w:top w:type="dxa" w:w="100"/>
                    <w:left w:type="dxa" w:w="120"/>
                    <w:bottom w:type="dxa" w:w="100"/>
                    <w:right w:type="dxa" w:w="120"/>
                  </w:tcMar>
                  <w:vAlign w:val="center"/>
                </w:tcPr>
                <w:p>
                  <w:r>
                    <w:rPr>
                      <w:b w:val="false"/>
                      <w:bCs w:val="false"/>
                      <w:color w:val="1F2937"/>
                      <w:sz w:val="19"/>
                      <w:szCs w:val="19"/>
                    </w:rPr>
                    <w:t xml:space="preserve">Reglementparameters</w:t>
                  </w:r>
                </w:p>
              </w:tc>
              <w:tc>
                <w:tcPr>
                  <w:tcW w:type="dxa" w:w="2300"/>
                  <w:tcMar>
                    <w:top w:type="dxa" w:w="100"/>
                    <w:left w:type="dxa" w:w="120"/>
                    <w:bottom w:type="dxa" w:w="100"/>
                    <w:right w:type="dxa" w:w="120"/>
                  </w:tcMar>
                  <w:vAlign w:val="center"/>
                </w:tcPr>
                <w:p>
                  <w:r>
                    <w:rPr>
                      <w:b w:val="false"/>
                      <w:bCs w:val="false"/>
                      <w:color w:val="1F2937"/>
                      <w:sz w:val="19"/>
                      <w:szCs w:val="19"/>
                    </w:rPr>
                    <w:t xml:space="preserve">Geschiedenis, minimaal</w:t>
                  </w:r>
                </w:p>
              </w:tc>
              <w:tc>
                <w:tcPr>
                  <w:tcW w:type="dxa" w:w="3138"/>
                  <w:tcMar>
                    <w:top w:type="dxa" w:w="100"/>
                    <w:left w:type="dxa" w:w="120"/>
                    <w:bottom w:type="dxa" w:w="100"/>
                    <w:right w:type="dxa" w:w="120"/>
                  </w:tcMar>
                  <w:vAlign w:val="center"/>
                </w:tcPr>
                <w:p>
                  <w:r>
                    <w:rPr>
                      <w:b w:val="false"/>
                      <w:bCs w:val="false"/>
                      <w:color w:val="1F2937"/>
                      <w:sz w:val="19"/>
                      <w:szCs w:val="19"/>
                    </w:rPr>
                    <w:t xml:space="preserve">Zie hieronder</w:t>
                  </w:r>
                </w:p>
              </w:tc>
            </w:tr>
          </w:tbl>
          <w:p>
            <w:pPr>
              <w:spacing w:after="100"/>
            </w:pPr>
          </w:p>
          <w:p>
            <w:pPr>
              <w:spacing w:after="120" w:line="276"/>
            </w:pPr>
            <w:r>
              <w:rPr>
                <w:b/>
                <w:bCs/>
                <w:color w:val="1F2937"/>
                <w:sz w:val="21"/>
                <w:szCs w:val="21"/>
              </w:rPr>
              <w:t xml:space="preserve">Onderdeel 7 is het punt van de opdracht.</w:t>
            </w:r>
            <w:r>
              <w:rPr>
                <w:color w:val="1F2937"/>
                <w:sz w:val="21"/>
                <w:szCs w:val="21"/>
              </w:rPr>
              <w:t xml:space="preserve"> De reglementparameters zijn geen "applicatiegegevens" maar configuratie, en juist daarom is er nooit historie op ingericht. Toch bepalen zij de uitkomst van elke berekening.</w:t>
            </w:r>
          </w:p>
          <w:p>
            <w:pPr>
              <w:spacing w:after="120" w:line="276"/>
            </w:pPr>
            <w:r>
              <w:rPr>
                <w:color w:val="1F2937"/>
                <w:sz w:val="21"/>
                <w:szCs w:val="21"/>
              </w:rPr>
              <w:t xml:space="preserve">Dit is een verrassende plek voor een investering en het is een terugkerend patroon: de gegevens die het gedrag van een systeem sturen worden vaak als bijzaak behandeld, terwijl zij administratief net zo zwaar zijn als de gegevens zelf. Een parameterwijziging verandert berekende rechten; zij hoort dus versiehistorie te hebben, met wie, wanneer en waarom.</w:t>
            </w:r>
          </w:p>
          <w:p>
            <w:pPr>
              <w:spacing w:after="120" w:line="276"/>
            </w:pPr>
            <w:r>
              <w:rPr>
                <w:color w:val="1F2937"/>
                <w:sz w:val="21"/>
                <w:szCs w:val="21"/>
              </w:rPr>
              <w:t xml:space="preserve">Groepen die dit zelf constateren, hebben het beste inzicht van het dagdeel.</w:t>
            </w:r>
          </w:p>
        </w:tc>
      </w:tr>
    </w:tbl>
    <w:p>
      <w:pPr>
        <w:spacing w:after="300"/>
      </w:pPr>
    </w:p>
    <w:p>
      <w:pPr>
        <w:pStyle w:val="Heading1"/>
        <w:pBdr>
          <w:bottom w:val="single" w:color="E5E7EB" w:sz="6" w:space="6"/>
        </w:pBdr>
        <w:spacing w:after="180" w:before="380"/>
      </w:pPr>
      <w:r>
        <w:rPr>
          <w:b/>
          <w:bCs/>
          <w:color w:val="1F3A5F"/>
          <w:sz w:val="30"/>
          <w:szCs w:val="30"/>
        </w:rPr>
        <w:t xml:space="preserve">Opdracht 14.3 — Een gebeurtenissenstroom ontwerpen (groepen van vier, 40 minuten)</w:t>
      </w:r>
    </w:p>
    <w:p>
      <w:pPr>
        <w:spacing w:after="160" w:line="276"/>
      </w:pPr>
      <w:r>
        <w:rPr>
          <w:color w:val="1F2937"/>
          <w:sz w:val="22"/>
          <w:szCs w:val="22"/>
        </w:rPr>
        <w:t xml:space="preserve">Ontwerp de gebeurtenissenstroom voor een adreswijziging met terugwerkende kracht.</w:t>
      </w:r>
    </w:p>
    <w:p>
      <w:pPr>
        <w:spacing w:after="160" w:line="276"/>
      </w:pPr>
      <w:r>
        <w:rPr>
          <w:b/>
          <w:bCs/>
          <w:color w:val="1F2937"/>
          <w:sz w:val="22"/>
          <w:szCs w:val="22"/>
        </w:rPr>
        <w:t xml:space="preserve">De casus: </w:t>
      </w:r>
      <w:r>
        <w:rPr>
          <w:color w:val="1F2937"/>
          <w:sz w:val="22"/>
          <w:szCs w:val="22"/>
        </w:rPr>
        <w:t xml:space="preserve">deelnemer verhuist per 1 juni naar het buitenland; meldt het op 14 juni; op 5 juni is een uitkering betaald op basis van het oude woonland. (Dit is het geval uit deel 8 van niveau 1, nu uitgewerkt.)</w:t>
      </w:r>
    </w:p>
    <w:p>
      <w:pPr>
        <w:pStyle w:val="ListParagraph"/>
        <w:numPr>
          <w:ilvl w:val="0"/>
          <w:numId w:val="2"/>
        </w:numPr>
        <w:spacing w:after="100"/>
      </w:pPr>
      <w:r>
        <w:rPr>
          <w:b/>
          <w:bCs/>
          <w:color w:val="1F2937"/>
          <w:sz w:val="22"/>
          <w:szCs w:val="22"/>
        </w:rPr>
        <w:t xml:space="preserve">a)</w:t>
      </w:r>
      <w:r>
        <w:rPr>
          <w:color w:val="1F2937"/>
          <w:sz w:val="22"/>
          <w:szCs w:val="22"/>
        </w:rPr>
        <w:t xml:space="preserve"> Benoem alle gebeurtenissen, in de volgorde waarin zij worden vastgelegd.</w:t>
      </w:r>
    </w:p>
    <w:p>
      <w:pPr>
        <w:pStyle w:val="ListParagraph"/>
        <w:numPr>
          <w:ilvl w:val="0"/>
          <w:numId w:val="2"/>
        </w:numPr>
        <w:spacing w:after="100"/>
      </w:pPr>
      <w:r>
        <w:rPr>
          <w:b/>
          <w:bCs/>
          <w:color w:val="1F2937"/>
          <w:sz w:val="22"/>
          <w:szCs w:val="22"/>
        </w:rPr>
        <w:t xml:space="preserve">b)</w:t>
      </w:r>
      <w:r>
        <w:rPr>
          <w:color w:val="1F2937"/>
          <w:sz w:val="22"/>
          <w:szCs w:val="22"/>
        </w:rPr>
        <w:t xml:space="preserve"> Noteer per gebeurtenis de ingangsdatum — wanneer geldt het feit?</w:t>
      </w:r>
    </w:p>
    <w:p>
      <w:pPr>
        <w:pStyle w:val="ListParagraph"/>
        <w:numPr>
          <w:ilvl w:val="0"/>
          <w:numId w:val="2"/>
        </w:numPr>
        <w:spacing w:after="100"/>
      </w:pPr>
      <w:r>
        <w:rPr>
          <w:b/>
          <w:bCs/>
          <w:color w:val="1F2937"/>
          <w:sz w:val="22"/>
          <w:szCs w:val="22"/>
        </w:rPr>
        <w:t xml:space="preserve">c)</w:t>
      </w:r>
      <w:r>
        <w:rPr>
          <w:color w:val="1F2937"/>
          <w:sz w:val="22"/>
          <w:szCs w:val="22"/>
        </w:rPr>
        <w:t xml:space="preserve"> Toon aan dat u met deze stroom twee vragen kunt beantwoorden: wat wisten wij op 5 juni en wat gold er feitelijk op 5 juni.</w:t>
      </w:r>
    </w:p>
    <w:p>
      <w:pPr>
        <w:pStyle w:val="ListParagraph"/>
        <w:numPr>
          <w:ilvl w:val="0"/>
          <w:numId w:val="2"/>
        </w:numPr>
        <w:spacing w:after="100"/>
      </w:pPr>
      <w:r>
        <w:rPr>
          <w:b/>
          <w:bCs/>
          <w:color w:val="1F2937"/>
          <w:sz w:val="22"/>
          <w:szCs w:val="22"/>
        </w:rPr>
        <w:t xml:space="preserve">d)</w:t>
      </w:r>
      <w:r>
        <w:rPr>
          <w:color w:val="1F2937"/>
          <w:sz w:val="22"/>
          <w:szCs w:val="22"/>
        </w:rPr>
        <w:t xml:space="preserve"> Welke correctiegebeurtenis volgt op de reeds gedane betaling? Formuleer haar volledig.</w:t>
      </w:r>
    </w:p>
    <w:p>
      <w:pPr>
        <w:pStyle w:val="ListParagraph"/>
        <w:numPr>
          <w:ilvl w:val="0"/>
          <w:numId w:val="2"/>
        </w:numPr>
        <w:spacing w:after="100"/>
      </w:pPr>
      <w:r>
        <w:rPr>
          <w:b/>
          <w:bCs/>
          <w:color w:val="1F2937"/>
          <w:sz w:val="22"/>
          <w:szCs w:val="22"/>
        </w:rPr>
        <w:t xml:space="preserve">e)</w:t>
      </w:r>
      <w:r>
        <w:rPr>
          <w:color w:val="1F2937"/>
          <w:sz w:val="22"/>
          <w:szCs w:val="22"/>
        </w:rPr>
        <w:t xml:space="preserve"> Welke velden staan in de gebeurtenissen, en welke staan er bewust níét in? Denk aan paragraaf 14.5.</w:t>
      </w:r>
    </w:p>
    <w:p>
      <w:pPr>
        <w:pStyle w:val="ListParagraph"/>
        <w:numPr>
          <w:ilvl w:val="0"/>
          <w:numId w:val="2"/>
        </w:numPr>
        <w:spacing w:after="100"/>
      </w:pPr>
      <w:r>
        <w:rPr>
          <w:b/>
          <w:bCs/>
          <w:color w:val="1F2937"/>
          <w:sz w:val="22"/>
          <w:szCs w:val="22"/>
        </w:rPr>
        <w:t xml:space="preserve">f)</w:t>
      </w:r>
      <w:r>
        <w:rPr>
          <w:color w:val="1F2937"/>
          <w:sz w:val="22"/>
          <w:szCs w:val="22"/>
        </w:rPr>
        <w:t xml:space="preserve"> Speel de stroom af tot 10 juni en tot 20 juni. Wat is de toestand op beide momenten?</w:t>
      </w:r>
    </w:p>
    <w:p>
      <w:pPr>
        <w:spacing w:after="160" w:line="276"/>
      </w:pPr>
      <w:r>
        <w:rPr>
          <w:color w:val="1F2937"/>
          <w:sz w:val="22"/>
          <w:szCs w:val="22"/>
        </w:rPr>
        <w:t xml:space="preserve">Presenteer c) en f)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14.3</w:t>
            </w:r>
          </w:p>
          <w:p>
            <w:pPr>
              <w:spacing w:after="80"/>
            </w:pPr>
          </w:p>
          <w:p>
            <w:pPr>
              <w:spacing w:after="120" w:line="276"/>
            </w:pPr>
            <w:r>
              <w:rPr>
                <w:b/>
                <w:bCs/>
                <w:color w:val="1F2937"/>
                <w:sz w:val="21"/>
                <w:szCs w:val="21"/>
              </w:rPr>
              <w:t xml:space="preserve">a/b) De stroom, met beide tijdlijnen:</w:t>
            </w:r>
            <w:r>
              <w:rPr>
                <w:color w:val="1F2937"/>
                <w:sz w:val="21"/>
                <w:szCs w:val="21"/>
              </w:rPr>
              <w:t xml:space="preserve"/>
            </w:r>
          </w:p>
          <w:tbl>
            <w:tblPr>
              <w:tblW w:type="dxa" w:w="8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4200"/>
              <w:gridCol w:w="1700"/>
              <w:gridCol w:w="23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4200"/>
                  <w:shd w:fill="1F3A5F" w:val="clear"/>
                  <w:tcMar>
                    <w:top w:type="dxa" w:w="100"/>
                    <w:left w:type="dxa" w:w="120"/>
                    <w:bottom w:type="dxa" w:w="100"/>
                    <w:right w:type="dxa" w:w="120"/>
                  </w:tcMar>
                  <w:vAlign w:val="center"/>
                </w:tcPr>
                <w:p>
                  <w:r>
                    <w:rPr>
                      <w:b/>
                      <w:bCs/>
                      <w:color w:val="FFFFFF"/>
                      <w:sz w:val="19"/>
                      <w:szCs w:val="19"/>
                    </w:rPr>
                    <w:t xml:space="preserve">Gebeurtenis</w:t>
                  </w:r>
                </w:p>
              </w:tc>
              <w:tc>
                <w:tcPr>
                  <w:tcW w:type="dxa" w:w="1700"/>
                  <w:shd w:fill="1F3A5F" w:val="clear"/>
                  <w:tcMar>
                    <w:top w:type="dxa" w:w="100"/>
                    <w:left w:type="dxa" w:w="120"/>
                    <w:bottom w:type="dxa" w:w="100"/>
                    <w:right w:type="dxa" w:w="120"/>
                  </w:tcMar>
                  <w:vAlign w:val="center"/>
                </w:tcPr>
                <w:p>
                  <w:r>
                    <w:rPr>
                      <w:b/>
                      <w:bCs/>
                      <w:color w:val="FFFFFF"/>
                      <w:sz w:val="19"/>
                      <w:szCs w:val="19"/>
                    </w:rPr>
                    <w:t xml:space="preserve">Vastgelegd</w:t>
                  </w:r>
                </w:p>
              </w:tc>
              <w:tc>
                <w:tcPr>
                  <w:tcW w:type="dxa" w:w="2338"/>
                  <w:shd w:fill="1F3A5F" w:val="clear"/>
                  <w:tcMar>
                    <w:top w:type="dxa" w:w="100"/>
                    <w:left w:type="dxa" w:w="120"/>
                    <w:bottom w:type="dxa" w:w="100"/>
                    <w:right w:type="dxa" w:w="120"/>
                  </w:tcMar>
                  <w:vAlign w:val="center"/>
                </w:tcPr>
                <w:p>
                  <w:r>
                    <w:rPr>
                      <w:b/>
                      <w:bCs/>
                      <w:color w:val="FFFFFF"/>
                      <w:sz w:val="19"/>
                      <w:szCs w:val="19"/>
                    </w:rPr>
                    <w:t xml:space="preserve">Ingangsdatum</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4200"/>
                  <w:tcMar>
                    <w:top w:type="dxa" w:w="100"/>
                    <w:left w:type="dxa" w:w="120"/>
                    <w:bottom w:type="dxa" w:w="100"/>
                    <w:right w:type="dxa" w:w="120"/>
                  </w:tcMar>
                  <w:vAlign w:val="center"/>
                </w:tcPr>
                <w:p>
                  <w:r>
                    <w:rPr>
                      <w:b w:val="false"/>
                      <w:bCs w:val="false"/>
                      <w:color w:val="1F2937"/>
                      <w:sz w:val="19"/>
                      <w:szCs w:val="19"/>
                    </w:rPr>
                    <w:t xml:space="preserve">Uitkering betaald (woonland NL, tarief X)</w:t>
                  </w:r>
                </w:p>
              </w:tc>
              <w:tc>
                <w:tcPr>
                  <w:tcW w:type="dxa" w:w="1700"/>
                  <w:tcMar>
                    <w:top w:type="dxa" w:w="100"/>
                    <w:left w:type="dxa" w:w="120"/>
                    <w:bottom w:type="dxa" w:w="100"/>
                    <w:right w:type="dxa" w:w="120"/>
                  </w:tcMar>
                  <w:vAlign w:val="center"/>
                </w:tcPr>
                <w:p>
                  <w:r>
                    <w:rPr>
                      <w:b w:val="false"/>
                      <w:bCs w:val="false"/>
                      <w:color w:val="1F2937"/>
                      <w:sz w:val="19"/>
                      <w:szCs w:val="19"/>
                    </w:rPr>
                    <w:t xml:space="preserve">5 juni</w:t>
                  </w:r>
                </w:p>
              </w:tc>
              <w:tc>
                <w:tcPr>
                  <w:tcW w:type="dxa" w:w="2338"/>
                  <w:tcMar>
                    <w:top w:type="dxa" w:w="100"/>
                    <w:left w:type="dxa" w:w="120"/>
                    <w:bottom w:type="dxa" w:w="100"/>
                    <w:right w:type="dxa" w:w="120"/>
                  </w:tcMar>
                  <w:vAlign w:val="center"/>
                </w:tcPr>
                <w:p>
                  <w:r>
                    <w:rPr>
                      <w:b w:val="false"/>
                      <w:bCs w:val="false"/>
                      <w:color w:val="1F2937"/>
                      <w:sz w:val="19"/>
                      <w:szCs w:val="19"/>
                    </w:rPr>
                    <w:t xml:space="preserve">5 juni</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4200"/>
                  <w:tcMar>
                    <w:top w:type="dxa" w:w="100"/>
                    <w:left w:type="dxa" w:w="120"/>
                    <w:bottom w:type="dxa" w:w="100"/>
                    <w:right w:type="dxa" w:w="120"/>
                  </w:tcMar>
                  <w:vAlign w:val="center"/>
                </w:tcPr>
                <w:p>
                  <w:r>
                    <w:rPr>
                      <w:b w:val="false"/>
                      <w:bCs w:val="false"/>
                      <w:color w:val="1F2937"/>
                      <w:sz w:val="19"/>
                      <w:szCs w:val="19"/>
                    </w:rPr>
                    <w:t xml:space="preserve">Adreswijziging gemeld</w:t>
                  </w:r>
                </w:p>
              </w:tc>
              <w:tc>
                <w:tcPr>
                  <w:tcW w:type="dxa" w:w="1700"/>
                  <w:tcMar>
                    <w:top w:type="dxa" w:w="100"/>
                    <w:left w:type="dxa" w:w="120"/>
                    <w:bottom w:type="dxa" w:w="100"/>
                    <w:right w:type="dxa" w:w="120"/>
                  </w:tcMar>
                  <w:vAlign w:val="center"/>
                </w:tcPr>
                <w:p>
                  <w:r>
                    <w:rPr>
                      <w:b w:val="false"/>
                      <w:bCs w:val="false"/>
                      <w:color w:val="1F2937"/>
                      <w:sz w:val="19"/>
                      <w:szCs w:val="19"/>
                    </w:rPr>
                    <w:t xml:space="preserve">14 juni</w:t>
                  </w:r>
                </w:p>
              </w:tc>
              <w:tc>
                <w:tcPr>
                  <w:tcW w:type="dxa" w:w="2338"/>
                  <w:tcMar>
                    <w:top w:type="dxa" w:w="100"/>
                    <w:left w:type="dxa" w:w="120"/>
                    <w:bottom w:type="dxa" w:w="100"/>
                    <w:right w:type="dxa" w:w="120"/>
                  </w:tcMar>
                  <w:vAlign w:val="center"/>
                </w:tcPr>
                <w:p>
                  <w:r>
                    <w:rPr>
                      <w:b w:val="false"/>
                      <w:bCs w:val="false"/>
                      <w:color w:val="1F2937"/>
                      <w:sz w:val="19"/>
                      <w:szCs w:val="19"/>
                    </w:rPr>
                    <w:t xml:space="preserve">1 juni</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4200"/>
                  <w:tcMar>
                    <w:top w:type="dxa" w:w="100"/>
                    <w:left w:type="dxa" w:w="120"/>
                    <w:bottom w:type="dxa" w:w="100"/>
                    <w:right w:type="dxa" w:w="120"/>
                  </w:tcMar>
                  <w:vAlign w:val="center"/>
                </w:tcPr>
                <w:p>
                  <w:r>
                    <w:rPr>
                      <w:b w:val="false"/>
                      <w:bCs w:val="false"/>
                      <w:color w:val="1F2937"/>
                      <w:sz w:val="19"/>
                      <w:szCs w:val="19"/>
                    </w:rPr>
                    <w:t xml:space="preserve">Woonland vastgesteld op buitenland</w:t>
                  </w:r>
                </w:p>
              </w:tc>
              <w:tc>
                <w:tcPr>
                  <w:tcW w:type="dxa" w:w="1700"/>
                  <w:tcMar>
                    <w:top w:type="dxa" w:w="100"/>
                    <w:left w:type="dxa" w:w="120"/>
                    <w:bottom w:type="dxa" w:w="100"/>
                    <w:right w:type="dxa" w:w="120"/>
                  </w:tcMar>
                  <w:vAlign w:val="center"/>
                </w:tcPr>
                <w:p>
                  <w:r>
                    <w:rPr>
                      <w:b w:val="false"/>
                      <w:bCs w:val="false"/>
                      <w:color w:val="1F2937"/>
                      <w:sz w:val="19"/>
                      <w:szCs w:val="19"/>
                    </w:rPr>
                    <w:t xml:space="preserve">14 juni</w:t>
                  </w:r>
                </w:p>
              </w:tc>
              <w:tc>
                <w:tcPr>
                  <w:tcW w:type="dxa" w:w="2338"/>
                  <w:tcMar>
                    <w:top w:type="dxa" w:w="100"/>
                    <w:left w:type="dxa" w:w="120"/>
                    <w:bottom w:type="dxa" w:w="100"/>
                    <w:right w:type="dxa" w:w="120"/>
                  </w:tcMar>
                  <w:vAlign w:val="center"/>
                </w:tcPr>
                <w:p>
                  <w:r>
                    <w:rPr>
                      <w:b w:val="false"/>
                      <w:bCs w:val="false"/>
                      <w:color w:val="1F2937"/>
                      <w:sz w:val="19"/>
                      <w:szCs w:val="19"/>
                    </w:rPr>
                    <w:t xml:space="preserve">1 juni</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4200"/>
                  <w:tcMar>
                    <w:top w:type="dxa" w:w="100"/>
                    <w:left w:type="dxa" w:w="120"/>
                    <w:bottom w:type="dxa" w:w="100"/>
                    <w:right w:type="dxa" w:w="120"/>
                  </w:tcMar>
                  <w:vAlign w:val="center"/>
                </w:tcPr>
                <w:p>
                  <w:r>
                    <w:rPr>
                      <w:b w:val="false"/>
                      <w:bCs w:val="false"/>
                      <w:color w:val="1F2937"/>
                      <w:sz w:val="19"/>
                      <w:szCs w:val="19"/>
                    </w:rPr>
                    <w:t xml:space="preserve">Vastgesteld dat een reeds gedane betaling wordt geraakt</w:t>
                  </w:r>
                </w:p>
              </w:tc>
              <w:tc>
                <w:tcPr>
                  <w:tcW w:type="dxa" w:w="1700"/>
                  <w:tcMar>
                    <w:top w:type="dxa" w:w="100"/>
                    <w:left w:type="dxa" w:w="120"/>
                    <w:bottom w:type="dxa" w:w="100"/>
                    <w:right w:type="dxa" w:w="120"/>
                  </w:tcMar>
                  <w:vAlign w:val="center"/>
                </w:tcPr>
                <w:p>
                  <w:r>
                    <w:rPr>
                      <w:b w:val="false"/>
                      <w:bCs w:val="false"/>
                      <w:color w:val="1F2937"/>
                      <w:sz w:val="19"/>
                      <w:szCs w:val="19"/>
                    </w:rPr>
                    <w:t xml:space="preserve">14 juni</w:t>
                  </w:r>
                </w:p>
              </w:tc>
              <w:tc>
                <w:tcPr>
                  <w:tcW w:type="dxa" w:w="2338"/>
                  <w:tcMar>
                    <w:top w:type="dxa" w:w="100"/>
                    <w:left w:type="dxa" w:w="120"/>
                    <w:bottom w:type="dxa" w:w="100"/>
                    <w:right w:type="dxa" w:w="120"/>
                  </w:tcMar>
                  <w:vAlign w:val="center"/>
                </w:tcPr>
                <w:p>
                  <w:r>
                    <w:rPr>
                      <w:b w:val="false"/>
                      <w:bCs w:val="false"/>
                      <w:color w:val="1F2937"/>
                      <w:sz w:val="19"/>
                      <w:szCs w:val="19"/>
                    </w:rPr>
                    <w:t xml:space="preserve">14 juni</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4200"/>
                  <w:tcMar>
                    <w:top w:type="dxa" w:w="100"/>
                    <w:left w:type="dxa" w:w="120"/>
                    <w:bottom w:type="dxa" w:w="100"/>
                    <w:right w:type="dxa" w:w="120"/>
                  </w:tcMar>
                  <w:vAlign w:val="center"/>
                </w:tcPr>
                <w:p>
                  <w:r>
                    <w:rPr>
                      <w:b w:val="false"/>
                      <w:bCs w:val="false"/>
                      <w:color w:val="1F2937"/>
                      <w:sz w:val="19"/>
                      <w:szCs w:val="19"/>
                    </w:rPr>
                    <w:t xml:space="preserve">Correctie op uitkering aangemaakt</w:t>
                  </w:r>
                </w:p>
              </w:tc>
              <w:tc>
                <w:tcPr>
                  <w:tcW w:type="dxa" w:w="1700"/>
                  <w:tcMar>
                    <w:top w:type="dxa" w:w="100"/>
                    <w:left w:type="dxa" w:w="120"/>
                    <w:bottom w:type="dxa" w:w="100"/>
                    <w:right w:type="dxa" w:w="120"/>
                  </w:tcMar>
                  <w:vAlign w:val="center"/>
                </w:tcPr>
                <w:p>
                  <w:r>
                    <w:rPr>
                      <w:b w:val="false"/>
                      <w:bCs w:val="false"/>
                      <w:color w:val="1F2937"/>
                      <w:sz w:val="19"/>
                      <w:szCs w:val="19"/>
                    </w:rPr>
                    <w:t xml:space="preserve">15 juni</w:t>
                  </w:r>
                </w:p>
              </w:tc>
              <w:tc>
                <w:tcPr>
                  <w:tcW w:type="dxa" w:w="2338"/>
                  <w:tcMar>
                    <w:top w:type="dxa" w:w="100"/>
                    <w:left w:type="dxa" w:w="120"/>
                    <w:bottom w:type="dxa" w:w="100"/>
                    <w:right w:type="dxa" w:w="120"/>
                  </w:tcMar>
                  <w:vAlign w:val="center"/>
                </w:tcPr>
                <w:p>
                  <w:r>
                    <w:rPr>
                      <w:b w:val="false"/>
                      <w:bCs w:val="false"/>
                      <w:color w:val="1F2937"/>
                      <w:sz w:val="19"/>
                      <w:szCs w:val="19"/>
                    </w:rPr>
                    <w:t xml:space="preserve">5 juni (de betaling die wordt gecorrigeerd)</w:t>
                  </w:r>
                </w:p>
              </w:tc>
            </w:tr>
          </w:tbl>
          <w:p>
            <w:pPr>
              <w:spacing w:after="100"/>
            </w:pPr>
          </w:p>
          <w:p>
            <w:pPr>
              <w:spacing w:after="120" w:line="276"/>
            </w:pPr>
            <w:r>
              <w:rPr>
                <w:b/>
                <w:bCs/>
                <w:color w:val="1F2937"/>
                <w:sz w:val="21"/>
                <w:szCs w:val="21"/>
              </w:rPr>
              <w:t xml:space="preserve">c) De twee vragen:</w:t>
            </w:r>
            <w:r>
              <w:rPr>
                <w:color w:val="1F2937"/>
                <w:sz w:val="21"/>
                <w:szCs w:val="21"/>
              </w:rPr>
              <w:t xml:space="preserve"/>
            </w:r>
          </w:p>
          <w:p>
            <w:pPr>
              <w:spacing w:after="120" w:line="276"/>
            </w:pPr>
            <w:r>
              <w:rPr>
                <w:color w:val="1F2937"/>
                <w:sz w:val="21"/>
                <w:szCs w:val="21"/>
              </w:rPr>
              <w:t xml:space="preserve">Wat wisten wij op 5 juni? Speel de gebeurtenissen af tot vastleggingsdatum 5 juni: alleen gebeurtenis 1. Woonland NL, tarief X. De betaling was op dat moment juist.</w:t>
            </w:r>
          </w:p>
          <w:p>
            <w:pPr>
              <w:spacing w:after="120" w:line="276"/>
            </w:pPr>
            <w:r>
              <w:rPr>
                <w:color w:val="1F2937"/>
                <w:sz w:val="21"/>
                <w:szCs w:val="21"/>
              </w:rPr>
              <w:t xml:space="preserve">Wat gold er feitelijk op 5 juni? Speel alle gebeurtenissen af en filter op ingangsdatum ≤ 5 juni: gebeurtenis 2 en 3 hebben ingangsdatum 1 juni en tellen dus mee. Woonland buitenland. De betaling was feitelijk onjuist.</w:t>
            </w:r>
          </w:p>
          <w:p>
            <w:pPr>
              <w:spacing w:after="120" w:line="276"/>
            </w:pPr>
            <w:r>
              <w:rPr>
                <w:b/>
                <w:bCs/>
                <w:color w:val="1F2937"/>
                <w:sz w:val="21"/>
                <w:szCs w:val="21"/>
              </w:rPr>
              <w:t xml:space="preserve">Beide antwoorden zijn waar en zij zijn allebei nodig.</w:t>
            </w:r>
            <w:r>
              <w:rPr>
                <w:color w:val="1F2937"/>
                <w:sz w:val="21"/>
                <w:szCs w:val="21"/>
              </w:rPr>
              <w:t xml:space="preserve"> Bij een geschil met de deelnemer is de eerste relevant (wij konden het niet weten); bij de fiscale afwikkeling de tweede (het feit is dat hij in het buitenland woonde).</w:t>
            </w:r>
          </w:p>
          <w:p>
            <w:pPr>
              <w:spacing w:after="120" w:line="276"/>
            </w:pPr>
            <w:r>
              <w:rPr>
                <w:color w:val="1F2937"/>
                <w:sz w:val="21"/>
                <w:szCs w:val="21"/>
              </w:rPr>
              <w:t xml:space="preserve">Zonder twee tijdlijnen kunt u er maar één beantwoorden — en welke, hangt af van een implementatiekeuze die niemand bewust heeft gemaakt.</w:t>
            </w:r>
          </w:p>
          <w:p>
            <w:pPr>
              <w:spacing w:after="120" w:line="276"/>
            </w:pPr>
            <w:r>
              <w:rPr>
                <w:b/>
                <w:bCs/>
                <w:color w:val="1F2937"/>
                <w:sz w:val="21"/>
                <w:szCs w:val="21"/>
              </w:rPr>
              <w:t xml:space="preserve">d) De correctiegebeurtenis: </w:t>
            </w:r>
            <w:r>
              <w:rPr>
                <w:color w:val="1F2937"/>
                <w:sz w:val="21"/>
                <w:szCs w:val="21"/>
              </w:rPr>
              <w:t xml:space="preserve">Correctie op uitkering aangemaakt — betaling van 5 juni, oorspronkelijk tarief X op grond van woonland NL, gecorrigeerd naar tarief Y op grond van woonland buitenland met ingang van 1 juni; verschil €Z; reden: adreswijziging met terugwerkende kracht; vastgesteld door M op 15 juni.</w:t>
            </w:r>
          </w:p>
          <w:p>
            <w:pPr>
              <w:spacing w:after="120" w:line="276"/>
            </w:pPr>
            <w:r>
              <w:rPr>
                <w:color w:val="1F2937"/>
                <w:sz w:val="21"/>
                <w:szCs w:val="21"/>
              </w:rPr>
              <w:t xml:space="preserve">Merk op wat er allemaal in staat: de oorspronkelijke waarde, de nieuwe, de grond, het verschil, de reden, de actor en beide data. Wat er níét in staat, is een beslissing over terugvordering — dat is beleid.</w:t>
            </w:r>
          </w:p>
          <w:p>
            <w:pPr>
              <w:spacing w:after="120" w:line="276"/>
            </w:pPr>
            <w:r>
              <w:rPr>
                <w:b/>
                <w:bCs/>
                <w:color w:val="1F2937"/>
                <w:sz w:val="21"/>
                <w:szCs w:val="21"/>
              </w:rPr>
              <w:t xml:space="preserve">e) Wel in de gebeurtenis: </w:t>
            </w:r>
            <w:r>
              <w:rPr>
                <w:color w:val="1F2937"/>
                <w:sz w:val="21"/>
                <w:szCs w:val="21"/>
              </w:rPr>
              <w:t xml:space="preserve">deelnemersverwijzing, bedragen, tarieven, data, reden, actor. Niet in de gebeurtenis: het adres zelf en andere persoonsgegevens; die staan in de aparte voorziening uit paragraaf 14.5, waarnaar wordt verwezen.</w:t>
            </w:r>
          </w:p>
          <w:p>
            <w:pPr>
              <w:spacing w:after="120" w:line="276"/>
            </w:pPr>
            <w:r>
              <w:rPr>
                <w:b/>
                <w:bCs/>
                <w:color w:val="1F2937"/>
                <w:sz w:val="21"/>
                <w:szCs w:val="21"/>
              </w:rPr>
              <w:t xml:space="preserve">f) </w:t>
            </w:r>
            <w:r>
              <w:rPr>
                <w:color w:val="1F2937"/>
                <w:sz w:val="21"/>
                <w:szCs w:val="21"/>
              </w:rPr>
              <w:t xml:space="preserve">Tot 10 juni: woonland NL, betaling van 5 juni ongecorrigeerd, geen bekende afwijking. Tot 20 juni: woonland buitenland met ingang 1 juni, betaling van 5 juni gecorrigeerd, correctie in behandeling.</w:t>
            </w:r>
          </w:p>
        </w:tc>
      </w:tr>
    </w:tbl>
    <w:p>
      <w:pPr>
        <w:spacing w:after="300"/>
      </w:pPr>
    </w:p>
    <w:p>
      <w:pPr>
        <w:pStyle w:val="Heading1"/>
        <w:pBdr>
          <w:bottom w:val="single" w:color="E5E7EB" w:sz="6" w:space="6"/>
        </w:pBdr>
        <w:spacing w:after="180" w:before="380"/>
      </w:pPr>
      <w:r>
        <w:rPr>
          <w:b/>
          <w:bCs/>
          <w:color w:val="1F3A5F"/>
          <w:sz w:val="30"/>
          <w:szCs w:val="30"/>
        </w:rPr>
        <w:t xml:space="preserve">Opdracht 14.4 — Het leesmodel ontwerpen (duo's, 30 minuten)</w:t>
      </w:r>
    </w:p>
    <w:p>
      <w:pPr>
        <w:spacing w:after="160" w:line="276"/>
      </w:pPr>
      <w:r>
        <w:rPr>
          <w:color w:val="1F2937"/>
          <w:sz w:val="22"/>
          <w:szCs w:val="22"/>
        </w:rPr>
        <w:t xml:space="preserve">Bijlage AN toont het behandelaarsscherm met alle velden en hun herkomst.</w:t>
      </w:r>
    </w:p>
    <w:p>
      <w:pPr>
        <w:pStyle w:val="ListParagraph"/>
        <w:numPr>
          <w:ilvl w:val="0"/>
          <w:numId w:val="2"/>
        </w:numPr>
        <w:spacing w:after="100"/>
      </w:pPr>
      <w:r>
        <w:rPr>
          <w:b/>
          <w:bCs/>
          <w:color w:val="1F2937"/>
          <w:sz w:val="22"/>
          <w:szCs w:val="22"/>
        </w:rPr>
        <w:t xml:space="preserve">a)</w:t>
      </w:r>
      <w:r>
        <w:rPr>
          <w:color w:val="1F2937"/>
          <w:sz w:val="22"/>
          <w:szCs w:val="22"/>
        </w:rPr>
        <w:t xml:space="preserve"> Uit hoeveel aggregaten komen de gegevens op dit scherm?</w:t>
      </w:r>
    </w:p>
    <w:p>
      <w:pPr>
        <w:pStyle w:val="ListParagraph"/>
        <w:numPr>
          <w:ilvl w:val="0"/>
          <w:numId w:val="2"/>
        </w:numPr>
        <w:spacing w:after="100"/>
      </w:pPr>
      <w:r>
        <w:rPr>
          <w:b/>
          <w:bCs/>
          <w:color w:val="1F2937"/>
          <w:sz w:val="22"/>
          <w:szCs w:val="22"/>
        </w:rPr>
        <w:t xml:space="preserve">b)</w:t>
      </w:r>
      <w:r>
        <w:rPr>
          <w:color w:val="1F2937"/>
          <w:sz w:val="22"/>
          <w:szCs w:val="22"/>
        </w:rPr>
        <w:t xml:space="preserve"> Ontwerp één leesmodel dat dit scherm bedient. Welke velden, welke vorm?</w:t>
      </w:r>
    </w:p>
    <w:p>
      <w:pPr>
        <w:pStyle w:val="ListParagraph"/>
        <w:numPr>
          <w:ilvl w:val="0"/>
          <w:numId w:val="2"/>
        </w:numPr>
        <w:spacing w:after="100"/>
      </w:pPr>
      <w:r>
        <w:rPr>
          <w:b/>
          <w:bCs/>
          <w:color w:val="1F2937"/>
          <w:sz w:val="22"/>
          <w:szCs w:val="22"/>
        </w:rPr>
        <w:t xml:space="preserve">c)</w:t>
      </w:r>
      <w:r>
        <w:rPr>
          <w:color w:val="1F2937"/>
          <w:sz w:val="22"/>
          <w:szCs w:val="22"/>
        </w:rPr>
        <w:t xml:space="preserve"> Welke gebeurtenissen vullen dit leesmodel, en wat gebeurt er per gebeurtenis?</w:t>
      </w:r>
    </w:p>
    <w:p>
      <w:pPr>
        <w:pStyle w:val="ListParagraph"/>
        <w:numPr>
          <w:ilvl w:val="0"/>
          <w:numId w:val="2"/>
        </w:numPr>
        <w:spacing w:after="100"/>
      </w:pPr>
      <w:r>
        <w:rPr>
          <w:b/>
          <w:bCs/>
          <w:color w:val="1F2937"/>
          <w:sz w:val="22"/>
          <w:szCs w:val="22"/>
        </w:rPr>
        <w:t xml:space="preserve">d)</w:t>
      </w:r>
      <w:r>
        <w:rPr>
          <w:color w:val="1F2937"/>
          <w:sz w:val="22"/>
          <w:szCs w:val="22"/>
        </w:rPr>
        <w:t xml:space="preserve"> De behandelaar wijzigt een mutatie en drukt op opslaan. Hoe zorgt u dat zij haar eigen wijziging onmiddellijk ziet?</w:t>
      </w:r>
    </w:p>
    <w:p>
      <w:pPr>
        <w:pStyle w:val="ListParagraph"/>
        <w:numPr>
          <w:ilvl w:val="0"/>
          <w:numId w:val="2"/>
        </w:numPr>
        <w:spacing w:after="100"/>
      </w:pPr>
      <w:r>
        <w:rPr>
          <w:b/>
          <w:bCs/>
          <w:color w:val="1F2937"/>
          <w:sz w:val="22"/>
          <w:szCs w:val="22"/>
        </w:rPr>
        <w:t xml:space="preserve">e)</w:t>
      </w:r>
      <w:r>
        <w:rPr>
          <w:color w:val="1F2937"/>
          <w:sz w:val="22"/>
          <w:szCs w:val="22"/>
        </w:rPr>
        <w:t xml:space="preserve"> De projectie loopt achter. Wat toont u, en vanaf welke achterstand wordt het een signaal?</w:t>
      </w:r>
    </w:p>
    <w:p>
      <w:pPr>
        <w:pStyle w:val="ListParagraph"/>
        <w:numPr>
          <w:ilvl w:val="0"/>
          <w:numId w:val="2"/>
        </w:numPr>
        <w:spacing w:after="100"/>
      </w:pPr>
      <w:r>
        <w:rPr>
          <w:b/>
          <w:bCs/>
          <w:color w:val="1F2937"/>
          <w:sz w:val="22"/>
          <w:szCs w:val="22"/>
        </w:rPr>
        <w:t xml:space="preserve">f)</w:t>
      </w:r>
      <w:r>
        <w:rPr>
          <w:color w:val="1F2937"/>
          <w:sz w:val="22"/>
          <w:szCs w:val="22"/>
        </w:rPr>
        <w:t xml:space="preserve"> Over een jaar wil compliance een nieuw overzicht: alle mutaties waarbij indiener en goedkeurder dezelfde afdeling hadden. Kunt u dat leveren over de afgelopen twee jaar? Wat moet u daarvoor doen?</w:t>
      </w:r>
    </w:p>
    <w:p>
      <w:pPr>
        <w:spacing w:after="160" w:line="276"/>
      </w:pPr>
      <w:r>
        <w:rPr>
          <w:color w:val="1F2937"/>
          <w:sz w:val="22"/>
          <w:szCs w:val="22"/>
        </w:rPr>
        <w:t xml:space="preserve">Onderdeel f) is het argument voor event sourcing dat het beste overkomt bij niet-technische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14.4</w:t>
            </w:r>
          </w:p>
          <w:p>
            <w:pPr>
              <w:spacing w:after="80"/>
            </w:pPr>
          </w:p>
          <w:p>
            <w:pPr>
              <w:spacing w:after="120" w:line="276"/>
            </w:pPr>
            <w:r>
              <w:rPr>
                <w:b/>
                <w:bCs/>
                <w:color w:val="1F2937"/>
                <w:sz w:val="21"/>
                <w:szCs w:val="21"/>
              </w:rPr>
              <w:t xml:space="preserve">a) </w:t>
            </w:r>
            <w:r>
              <w:rPr>
                <w:color w:val="1F2937"/>
                <w:sz w:val="21"/>
                <w:szCs w:val="21"/>
              </w:rPr>
              <w:t xml:space="preserve">Drie tot vier aggregaten: deelnemer, mutatie(s), statusgeschiedenis, en openstaande acties.</w:t>
            </w:r>
          </w:p>
          <w:p>
            <w:pPr>
              <w:spacing w:after="120" w:line="276"/>
            </w:pPr>
            <w:r>
              <w:rPr>
                <w:b/>
                <w:bCs/>
                <w:color w:val="1F2937"/>
                <w:sz w:val="21"/>
                <w:szCs w:val="21"/>
              </w:rPr>
              <w:t xml:space="preserve">b/c) </w:t>
            </w:r>
            <w:r>
              <w:rPr>
                <w:color w:val="1F2937"/>
                <w:sz w:val="21"/>
                <w:szCs w:val="21"/>
              </w:rPr>
              <w:t xml:space="preserve">Eén leesmodel per behandelaarsscherm, gevuld door: mutatie ingediend (nieuwe regel), mutatie goedgekeurd (status bijwerken), deelnemersgegevens gewijzigd (kop bijwerken), mutatie afgerond (status en verplaatsing naar historie).</w:t>
            </w:r>
          </w:p>
          <w:p>
            <w:pPr>
              <w:spacing w:after="120" w:line="276"/>
            </w:pPr>
            <w:r>
              <w:rPr>
                <w:b/>
                <w:bCs/>
                <w:color w:val="1F2937"/>
                <w:sz w:val="21"/>
                <w:szCs w:val="21"/>
              </w:rPr>
              <w:t xml:space="preserve">d) De eigen wijziging zien.</w:t>
            </w:r>
            <w:r>
              <w:rPr>
                <w:color w:val="1F2937"/>
                <w:sz w:val="21"/>
                <w:szCs w:val="21"/>
              </w:rPr>
              <w:t xml:space="preserve"> Twee werkbare oplossingen: na de handeling het resultaat tonen uit het schrijfmodel in plaats van uit de projectie, of kort wachten tot de projectie het volgnummer van de zojuist geschreven gebeurtenis heeft verwerkt.</w:t>
            </w:r>
          </w:p>
          <w:p>
            <w:pPr>
              <w:spacing w:after="120" w:line="276"/>
            </w:pPr>
            <w:r>
              <w:rPr>
                <w:color w:val="1F2937"/>
                <w:sz w:val="21"/>
                <w:szCs w:val="21"/>
              </w:rPr>
              <w:t xml:space="preserve">Dit is de belangrijkste maatregel van het hele onderwerp. Gebruikers accepteren dat een collega iets later ziet; zij accepteren niet dat hun eigen handeling lijkt te zijn mislukt — dan drukken zij nogmaals, en dan hebt u een dubbele mutatie.</w:t>
            </w:r>
          </w:p>
          <w:p>
            <w:pPr>
              <w:spacing w:after="120" w:line="276"/>
            </w:pPr>
            <w:r>
              <w:rPr>
                <w:b/>
                <w:bCs/>
                <w:color w:val="1F2937"/>
                <w:sz w:val="21"/>
                <w:szCs w:val="21"/>
              </w:rPr>
              <w:t xml:space="preserve">e) </w:t>
            </w:r>
            <w:r>
              <w:rPr>
                <w:color w:val="1F2937"/>
                <w:sz w:val="21"/>
                <w:szCs w:val="21"/>
              </w:rPr>
              <w:t xml:space="preserve">Toon een tijdstempel "bijgewerkt tot HH:MM". Signaal vanaf enkele seconden voor beheer; zichtbare melding aan de gebruiker vanaf enkele tientallen seconden. Een projectie die helemaal stilstaat is de stille stilstand uit deel 6 van niveau 1 en vraagt bewaking op uitblijvende voortgang, niet op fouten.</w:t>
            </w:r>
          </w:p>
          <w:p>
            <w:pPr>
              <w:spacing w:after="120" w:line="276"/>
            </w:pPr>
            <w:r>
              <w:rPr>
                <w:b/>
                <w:bCs/>
                <w:color w:val="1F2937"/>
                <w:sz w:val="21"/>
                <w:szCs w:val="21"/>
              </w:rPr>
              <w:t xml:space="preserve">f) Het overzicht dat compliance over een jaar vraagt.</w:t>
            </w:r>
            <w:r>
              <w:rPr>
                <w:color w:val="1F2937"/>
                <w:sz w:val="21"/>
                <w:szCs w:val="21"/>
              </w:rPr>
              <w:t xml:space="preserve"> Met event sourcing: u schrijft een nieuwe projectie die op mutatie ingediend en mutatie goedgekeurd let, en speelt de geschiedenis van twee jaar af. Binnen dagen leverbaar.</w:t>
            </w:r>
          </w:p>
          <w:p>
            <w:pPr>
              <w:spacing w:after="120" w:line="276"/>
            </w:pPr>
            <w:r>
              <w:rPr>
                <w:color w:val="1F2937"/>
                <w:sz w:val="21"/>
                <w:szCs w:val="21"/>
              </w:rPr>
              <w:t xml:space="preserve">Met eindtoestandopslag: onmogelijk, want de afdeling van de indiener op het moment van indienen is nergens bewaard — alleen de huidige afdeling van de huidige medewerker.</w:t>
            </w:r>
          </w:p>
          <w:p>
            <w:pPr>
              <w:spacing w:after="120" w:line="276"/>
            </w:pPr>
            <w:r>
              <w:rPr>
                <w:b/>
                <w:bCs/>
                <w:color w:val="1F2937"/>
                <w:sz w:val="21"/>
                <w:szCs w:val="21"/>
              </w:rPr>
              <w:t xml:space="preserve">Dit is het argument dat bij niet-technische stakeholders het beste overkomt, </w:t>
            </w:r>
            <w:r>
              <w:rPr>
                <w:color w:val="1F2937"/>
                <w:sz w:val="21"/>
                <w:szCs w:val="21"/>
              </w:rPr>
              <w:t xml:space="preserve">en het is de moeite waard het zo te formuleren: toezichtvragen zijn niet te voorzien, en de vraag van 2029 stelt u niet in 2026.</w:t>
            </w:r>
          </w:p>
        </w:tc>
      </w:tr>
    </w:tbl>
    <w:p>
      <w:pPr>
        <w:spacing w:after="300"/>
      </w:pPr>
    </w:p>
    <w:p>
      <w:pPr>
        <w:pStyle w:val="Heading1"/>
        <w:pBdr>
          <w:bottom w:val="single" w:color="E5E7EB" w:sz="6" w:space="6"/>
        </w:pBdr>
        <w:spacing w:after="180" w:before="380"/>
      </w:pPr>
      <w:r>
        <w:rPr>
          <w:b/>
          <w:bCs/>
          <w:color w:val="1F3A5F"/>
          <w:sz w:val="30"/>
          <w:szCs w:val="30"/>
        </w:rPr>
        <w:t xml:space="preserve">Opdracht 14.5 — Correcties en verwijderen (groepen van vier, 30 minuten)</w:t>
      </w:r>
    </w:p>
    <w:p>
      <w:pPr>
        <w:spacing w:after="160" w:line="276"/>
      </w:pPr>
      <w:r>
        <w:rPr>
          <w:color w:val="1F2937"/>
          <w:sz w:val="22"/>
          <w:szCs w:val="22"/>
        </w:rPr>
        <w:t xml:space="preserve">Bijlage AO bevat vier casussen.</w:t>
      </w:r>
    </w:p>
    <w:p>
      <w:pPr>
        <w:pStyle w:val="ListParagraph"/>
        <w:numPr>
          <w:ilvl w:val="0"/>
          <w:numId w:val="5"/>
        </w:numPr>
        <w:spacing w:after="120"/>
      </w:pPr>
      <w:r>
        <w:rPr>
          <w:color w:val="1F2937"/>
          <w:sz w:val="22"/>
          <w:szCs w:val="22"/>
        </w:rPr>
        <w:t xml:space="preserve">Een behandelaar heeft een ingangsdatum verkeerd ingevoerd; dit blijkt drie maanden later.</w:t>
      </w:r>
    </w:p>
    <w:p>
      <w:pPr>
        <w:pStyle w:val="ListParagraph"/>
        <w:numPr>
          <w:ilvl w:val="0"/>
          <w:numId w:val="5"/>
        </w:numPr>
        <w:spacing w:after="120"/>
      </w:pPr>
      <w:r>
        <w:rPr>
          <w:color w:val="1F2937"/>
          <w:sz w:val="22"/>
          <w:szCs w:val="22"/>
        </w:rPr>
        <w:t xml:space="preserve">Een scheidingsmutatie is per abuis op de verkeerde deelnemer geboekt.</w:t>
      </w:r>
    </w:p>
    <w:p>
      <w:pPr>
        <w:pStyle w:val="ListParagraph"/>
        <w:numPr>
          <w:ilvl w:val="0"/>
          <w:numId w:val="5"/>
        </w:numPr>
        <w:spacing w:after="120"/>
      </w:pPr>
      <w:r>
        <w:rPr>
          <w:color w:val="1F2937"/>
          <w:sz w:val="22"/>
          <w:szCs w:val="22"/>
        </w:rPr>
        <w:t xml:space="preserve">Een deelnemer vraagt verwijdering van al zijn gegevens; hij is nooit deelnemer geweest maar per abuis aangemaakt.</w:t>
      </w:r>
    </w:p>
    <w:p>
      <w:pPr>
        <w:pStyle w:val="ListParagraph"/>
        <w:numPr>
          <w:ilvl w:val="0"/>
          <w:numId w:val="5"/>
        </w:numPr>
        <w:spacing w:after="120"/>
      </w:pPr>
      <w:r>
        <w:rPr>
          <w:color w:val="1F2937"/>
          <w:sz w:val="22"/>
          <w:szCs w:val="22"/>
        </w:rPr>
        <w:t xml:space="preserve">Een deelnemer vraagt verwijdering; hij is uitkeringsgerechtigd en er geldt een bewaarplicht.</w:t>
      </w:r>
    </w:p>
    <w:p>
      <w:pPr>
        <w:spacing w:after="160" w:line="276"/>
      </w:pPr>
      <w:r>
        <w:rPr>
          <w:color w:val="1F2937"/>
          <w:sz w:val="22"/>
          <w:szCs w:val="22"/>
        </w:rPr>
        <w:t xml:space="preserve">Voor elke casus:</w:t>
      </w:r>
    </w:p>
    <w:p>
      <w:pPr>
        <w:pStyle w:val="ListParagraph"/>
        <w:numPr>
          <w:ilvl w:val="0"/>
          <w:numId w:val="2"/>
        </w:numPr>
        <w:spacing w:after="100"/>
      </w:pPr>
      <w:r>
        <w:rPr>
          <w:b/>
          <w:bCs/>
          <w:color w:val="1F2937"/>
          <w:sz w:val="22"/>
          <w:szCs w:val="22"/>
        </w:rPr>
        <w:t xml:space="preserve">a)</w:t>
      </w:r>
      <w:r>
        <w:rPr>
          <w:color w:val="1F2937"/>
          <w:sz w:val="22"/>
          <w:szCs w:val="22"/>
        </w:rPr>
        <w:t xml:space="preserve"> Welke gebeurtenis(sen) legt u vast?</w:t>
      </w:r>
    </w:p>
    <w:p>
      <w:pPr>
        <w:pStyle w:val="ListParagraph"/>
        <w:numPr>
          <w:ilvl w:val="0"/>
          <w:numId w:val="2"/>
        </w:numPr>
        <w:spacing w:after="100"/>
      </w:pPr>
      <w:r>
        <w:rPr>
          <w:b/>
          <w:bCs/>
          <w:color w:val="1F2937"/>
          <w:sz w:val="22"/>
          <w:szCs w:val="22"/>
        </w:rPr>
        <w:t xml:space="preserve">b)</w:t>
      </w:r>
      <w:r>
        <w:rPr>
          <w:color w:val="1F2937"/>
          <w:sz w:val="22"/>
          <w:szCs w:val="22"/>
        </w:rPr>
        <w:t xml:space="preserve"> Wat ziet een reconstructie achteraf?</w:t>
      </w:r>
    </w:p>
    <w:p>
      <w:pPr>
        <w:pStyle w:val="ListParagraph"/>
        <w:numPr>
          <w:ilvl w:val="0"/>
          <w:numId w:val="2"/>
        </w:numPr>
        <w:spacing w:after="100"/>
      </w:pPr>
      <w:r>
        <w:rPr>
          <w:b/>
          <w:bCs/>
          <w:color w:val="1F2937"/>
          <w:sz w:val="22"/>
          <w:szCs w:val="22"/>
        </w:rPr>
        <w:t xml:space="preserve">c)</w:t>
      </w:r>
      <w:r>
        <w:rPr>
          <w:color w:val="1F2937"/>
          <w:sz w:val="22"/>
          <w:szCs w:val="22"/>
        </w:rPr>
        <w:t xml:space="preserve"> Wie neemt de beslissing — architect, behandelaar, compliance, of juridische zaken?</w:t>
      </w:r>
    </w:p>
    <w:p>
      <w:pPr>
        <w:pStyle w:val="ListParagraph"/>
        <w:numPr>
          <w:ilvl w:val="0"/>
          <w:numId w:val="2"/>
        </w:numPr>
        <w:spacing w:after="100"/>
      </w:pPr>
      <w:r>
        <w:rPr>
          <w:b/>
          <w:bCs/>
          <w:color w:val="1F2937"/>
          <w:sz w:val="22"/>
          <w:szCs w:val="22"/>
        </w:rPr>
        <w:t xml:space="preserve">d)</w:t>
      </w:r>
      <w:r>
        <w:rPr>
          <w:color w:val="1F2937"/>
          <w:sz w:val="22"/>
          <w:szCs w:val="22"/>
        </w:rPr>
        <w:t xml:space="preserve"> Bij casus 3 en 4: beschrijf het architectuurpatroon dat beide gevallen aankan, en benoem wat er ná verwijdering nog reconstrueerbaar is.</w:t>
      </w:r>
    </w:p>
    <w:p>
      <w:pPr>
        <w:pStyle w:val="ListParagraph"/>
        <w:numPr>
          <w:ilvl w:val="0"/>
          <w:numId w:val="2"/>
        </w:numPr>
        <w:spacing w:after="100"/>
      </w:pPr>
      <w:r>
        <w:rPr>
          <w:b/>
          <w:bCs/>
          <w:color w:val="1F2937"/>
          <w:sz w:val="22"/>
          <w:szCs w:val="22"/>
        </w:rPr>
        <w:t xml:space="preserve">e) De grensvraag.</w:t>
      </w:r>
      <w:r>
        <w:rPr>
          <w:color w:val="1F2937"/>
          <w:sz w:val="22"/>
          <w:szCs w:val="22"/>
        </w:rPr>
        <w:t xml:space="preserve"> Casus 2: de mutatie stond op de verkeerde deelnemer. Mag die deelnemer in een reconstructie zien dat er ooit een scheidingsmutatie van iemand anders op zijn dossier stond?</w:t>
      </w:r>
    </w:p>
    <w:p>
      <w:pPr>
        <w:spacing w:after="160" w:line="276"/>
      </w:pPr>
      <w:r>
        <w:rPr>
          <w:color w:val="1F2937"/>
          <w:sz w:val="22"/>
          <w:szCs w:val="22"/>
        </w:rPr>
        <w:t xml:space="preserve">Vraag e) heeft geen technisch antwoord en is precies daarom opgenomen.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14.5</w:t>
            </w:r>
          </w:p>
          <w:p>
            <w:pPr>
              <w:spacing w:after="80"/>
            </w:pPr>
          </w:p>
          <w:p>
            <w:pPr>
              <w:spacing w:after="120" w:line="276"/>
            </w:pPr>
            <w:r>
              <w:rPr>
                <w:b/>
                <w:bCs/>
                <w:color w:val="1F2937"/>
                <w:sz w:val="21"/>
                <w:szCs w:val="21"/>
              </w:rPr>
              <w:t xml:space="preserve">Casus 1 — verkeerde ingangsdatum.</w:t>
            </w:r>
            <w:r>
              <w:rPr>
                <w:color w:val="1F2937"/>
                <w:sz w:val="21"/>
                <w:szCs w:val="21"/>
              </w:rPr>
              <w:t xml:space="preserve"> Correctiegebeurtenis met oude en nieuwe waarde, reden en actor. Reconstructie toont beide waarden en het moment van correctie. Beslissing: behandelaar, binnen bevoegdheid; bij financiële gevolgen ook compliance.</w:t>
            </w:r>
          </w:p>
          <w:p>
            <w:pPr>
              <w:spacing w:after="120" w:line="276"/>
            </w:pPr>
            <w:r>
              <w:rPr>
                <w:b/>
                <w:bCs/>
                <w:color w:val="1F2937"/>
                <w:sz w:val="21"/>
                <w:szCs w:val="21"/>
              </w:rPr>
              <w:t xml:space="preserve">Casus 2 — mutatie op verkeerde deelnemer.</w:t>
            </w:r>
            <w:r>
              <w:rPr>
                <w:color w:val="1F2937"/>
                <w:sz w:val="21"/>
                <w:szCs w:val="21"/>
              </w:rPr>
              <w:t xml:space="preserve"> Dit is de lastigste van de vier. U kunt de gebeurtenis niet verwijderen, dus: een mutatie ingetrokken wegens onjuiste deelnemer-gebeurtenis op dossier A, plus de correcte mutatie op dossier B. Reconstructie op A toont dat er een mutatie was die is ingetrokken.</w:t>
            </w:r>
          </w:p>
          <w:p>
            <w:pPr>
              <w:spacing w:after="120" w:line="276"/>
            </w:pPr>
            <w:r>
              <w:rPr>
                <w:b/>
                <w:bCs/>
                <w:color w:val="1F2937"/>
                <w:sz w:val="21"/>
                <w:szCs w:val="21"/>
              </w:rPr>
              <w:t xml:space="preserve">e) De grensvraag</w:t>
            </w:r>
            <w:r>
              <w:rPr>
                <w:color w:val="1F2937"/>
                <w:sz w:val="21"/>
                <w:szCs w:val="21"/>
              </w:rPr>
              <w:t xml:space="preserve"> — mag deelnemer A zien dat er ooit een scheidingsmutatie van iemand anders op zijn dossier stond?</w:t>
            </w:r>
          </w:p>
          <w:p>
            <w:pPr>
              <w:spacing w:after="120" w:line="276"/>
            </w:pPr>
            <w:r>
              <w:rPr>
                <w:color w:val="1F2937"/>
                <w:sz w:val="21"/>
                <w:szCs w:val="21"/>
              </w:rPr>
              <w:t xml:space="preserve">Er is geen technisch antwoord. De afweging: de intrekking moet vastgelegd zijn (anders is er een gat in de reconstructie), maar de inhoud van de foutieve mutatie betreft een derde en hoort niet bij A. Het werkbare patroon is dat de gebeurtenisstructuur bewaard blijft — er was een mutatie, zij is ingetrokken, op datum D, wegens onjuiste dossiertoewijzing — terwijl de inhoudelijke gegevens niet meer via A benaderbaar zijn.</w:t>
            </w:r>
          </w:p>
          <w:p>
            <w:pPr>
              <w:spacing w:after="120" w:line="276"/>
            </w:pPr>
            <w:r>
              <w:rPr>
                <w:color w:val="1F2937"/>
                <w:sz w:val="21"/>
                <w:szCs w:val="21"/>
              </w:rPr>
              <w:t xml:space="preserve">Dat is precies hetzelfde patroon als bij het verwijderrecht, en dat is geen toeval: beide gevallen scheiden dat er iets gebeurde van wat er precies gebeurde.</w:t>
            </w:r>
          </w:p>
          <w:p>
            <w:pPr>
              <w:spacing w:after="120" w:line="276"/>
            </w:pPr>
            <w:r>
              <w:rPr>
                <w:color w:val="1F2937"/>
                <w:sz w:val="21"/>
                <w:szCs w:val="21"/>
              </w:rPr>
              <w:t xml:space="preserve">Wie beslist? Juridische zaken en de functionaris gegevensbescherming, niet de architect. De architect levert het patroon en benoemt de gevolgen.</w:t>
            </w:r>
          </w:p>
          <w:p>
            <w:pPr>
              <w:spacing w:after="120" w:line="276"/>
            </w:pPr>
            <w:r>
              <w:rPr>
                <w:b/>
                <w:bCs/>
                <w:color w:val="1F2937"/>
                <w:sz w:val="21"/>
                <w:szCs w:val="21"/>
              </w:rPr>
              <w:t xml:space="preserve">Casus 3 — nooit deelnemer geweest.</w:t>
            </w:r>
            <w:r>
              <w:rPr>
                <w:color w:val="1F2937"/>
                <w:sz w:val="21"/>
                <w:szCs w:val="21"/>
              </w:rPr>
              <w:t xml:space="preserve"> Geen bewaarplicht, dus verwijdering. Persoonsgegevens onleesbaar maken in de aparte voorziening; de gebeurtenisstructuur blijft als anonieme reeks.</w:t>
            </w:r>
          </w:p>
          <w:p>
            <w:pPr>
              <w:spacing w:after="120" w:line="276"/>
            </w:pPr>
            <w:r>
              <w:rPr>
                <w:b/>
                <w:bCs/>
                <w:color w:val="1F2937"/>
                <w:sz w:val="21"/>
                <w:szCs w:val="21"/>
              </w:rPr>
              <w:t xml:space="preserve">Casus 4 — bewaarplicht.</w:t>
            </w:r>
            <w:r>
              <w:rPr>
                <w:color w:val="1F2937"/>
                <w:sz w:val="21"/>
                <w:szCs w:val="21"/>
              </w:rPr>
              <w:t xml:space="preserve"> Verwijderverzoek gemotiveerd afwijzen voor de gegevens die onder de bewaarplicht vallen, en honoreren voor de rest. Dit is de kern van de afweging: het is geen alles-of-niets, en de scheiding loopt langs de grondslag per gegeven, niet langs het verzoek.</w:t>
            </w:r>
          </w:p>
          <w:p>
            <w:pPr>
              <w:spacing w:after="120" w:line="276"/>
            </w:pPr>
            <w:r>
              <w:rPr>
                <w:b/>
                <w:bCs/>
                <w:color w:val="1F2937"/>
                <w:sz w:val="21"/>
                <w:szCs w:val="21"/>
              </w:rPr>
              <w:t xml:space="preserve">d) Het patroon: </w:t>
            </w:r>
            <w:r>
              <w:rPr>
                <w:color w:val="1F2937"/>
                <w:sz w:val="21"/>
                <w:szCs w:val="21"/>
              </w:rPr>
              <w:t xml:space="preserve">persoonsgegevens in een aparte, wijzigbare voorziening; gebeurtenissen verwijzen ernaar. Na verwijdering blijft reconstrueerbaar: dát er gebeurtenissen waren, wanneer, in welke volgorde, met welke bedragen en welke gevolgen. Niet meer reconstrueerbaar: om welke persoon het ging.</w:t>
            </w:r>
          </w:p>
        </w:tc>
      </w:tr>
    </w:tbl>
    <w:p>
      <w:pPr>
        <w:spacing w:after="300"/>
      </w:pPr>
    </w:p>
    <w:p>
      <w:pPr>
        <w:pStyle w:val="Heading1"/>
        <w:pBdr>
          <w:bottom w:val="single" w:color="E5E7EB" w:sz="6" w:space="6"/>
        </w:pBdr>
        <w:spacing w:after="180" w:before="380"/>
      </w:pPr>
      <w:r>
        <w:rPr>
          <w:b/>
          <w:bCs/>
          <w:color w:val="1F3A5F"/>
          <w:sz w:val="30"/>
          <w:szCs w:val="30"/>
        </w:rPr>
        <w:t xml:space="preserve">Opdracht 14.6 — Wanneer niet? (individueel, 15 minuten)</w:t>
      </w:r>
    </w:p>
    <w:p>
      <w:pPr>
        <w:spacing w:after="160" w:line="276"/>
      </w:pPr>
      <w:r>
        <w:rPr>
          <w:color w:val="1F2937"/>
          <w:sz w:val="22"/>
          <w:szCs w:val="22"/>
        </w:rPr>
        <w:t xml:space="preserve">Beoordeel per situatie: event sourcing, niveau 2, audittabel of niets.</w:t>
      </w:r>
    </w:p>
    <w:p>
      <w:pPr>
        <w:pStyle w:val="ListParagraph"/>
        <w:numPr>
          <w:ilvl w:val="0"/>
          <w:numId w:val="6"/>
        </w:numPr>
        <w:spacing w:after="120"/>
      </w:pPr>
      <w:r>
        <w:rPr>
          <w:color w:val="1F2937"/>
          <w:sz w:val="22"/>
          <w:szCs w:val="22"/>
        </w:rPr>
        <w:t xml:space="preserve">Een systeem dat voorkeuren voor nieuwsbrieven bijhoudt.</w:t>
      </w:r>
    </w:p>
    <w:p>
      <w:pPr>
        <w:pStyle w:val="ListParagraph"/>
        <w:numPr>
          <w:ilvl w:val="0"/>
          <w:numId w:val="6"/>
        </w:numPr>
        <w:spacing w:after="120"/>
      </w:pPr>
      <w:r>
        <w:rPr>
          <w:color w:val="1F2937"/>
          <w:sz w:val="22"/>
          <w:szCs w:val="22"/>
        </w:rPr>
        <w:t xml:space="preserve">Een systeem dat medische indicaties voor arbeidsongeschiktheid vastlegt.</w:t>
      </w:r>
    </w:p>
    <w:p>
      <w:pPr>
        <w:pStyle w:val="ListParagraph"/>
        <w:numPr>
          <w:ilvl w:val="0"/>
          <w:numId w:val="6"/>
        </w:numPr>
        <w:spacing w:after="120"/>
      </w:pPr>
      <w:r>
        <w:rPr>
          <w:color w:val="1F2937"/>
          <w:sz w:val="22"/>
          <w:szCs w:val="22"/>
        </w:rPr>
        <w:t xml:space="preserve">Een intern hulpmiddel voor het plannen van teamoverleggen.</w:t>
      </w:r>
    </w:p>
    <w:p>
      <w:pPr>
        <w:pStyle w:val="ListParagraph"/>
        <w:numPr>
          <w:ilvl w:val="0"/>
          <w:numId w:val="6"/>
        </w:numPr>
        <w:spacing w:after="120"/>
      </w:pPr>
      <w:r>
        <w:rPr>
          <w:color w:val="1F2937"/>
          <w:sz w:val="22"/>
          <w:szCs w:val="22"/>
        </w:rPr>
        <w:t xml:space="preserve">Een systeem dat premies berekent, waarbij de berekening jaarlijks wijzigt en geschillen tot vijf jaar terugwerken.</w:t>
      </w:r>
    </w:p>
    <w:p>
      <w:pPr>
        <w:pStyle w:val="ListParagraph"/>
        <w:numPr>
          <w:ilvl w:val="0"/>
          <w:numId w:val="6"/>
        </w:numPr>
        <w:spacing w:after="120"/>
      </w:pPr>
      <w:r>
        <w:rPr>
          <w:color w:val="1F2937"/>
          <w:sz w:val="22"/>
          <w:szCs w:val="22"/>
        </w:rPr>
        <w:t xml:space="preserve">Een leesmodel voor een dashboard.</w:t>
      </w:r>
    </w:p>
    <w:p>
      <w:pPr>
        <w:pStyle w:val="ListParagraph"/>
        <w:numPr>
          <w:ilvl w:val="0"/>
          <w:numId w:val="6"/>
        </w:numPr>
        <w:spacing w:after="120"/>
      </w:pPr>
      <w:r>
        <w:rPr>
          <w:color w:val="1F2937"/>
          <w:sz w:val="22"/>
          <w:szCs w:val="22"/>
        </w:rPr>
        <w:t xml:space="preserve">Een systeem waarvan het team nog nooit met gebeurtenissen heeft gewerkt en dat over vier maanden live moet.</w:t>
      </w:r>
    </w:p>
    <w:p>
      <w:pPr>
        <w:spacing w:after="160" w:line="276"/>
      </w:pPr>
      <w:r>
        <w:rPr>
          <w:color w:val="1F2937"/>
          <w:sz w:val="22"/>
          <w:szCs w:val="22"/>
        </w:rPr>
        <w:t xml:space="preserve">Situatie 6 is de eerlijkheidstoets van deze opdracht.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14.6</w:t>
            </w:r>
          </w:p>
          <w:p>
            <w:pPr>
              <w:spacing w:after="80"/>
            </w:pPr>
          </w:p>
          <w:p>
            <w:pPr>
              <w:pStyle w:val="ListParagraph"/>
              <w:numPr>
                <w:ilvl w:val="0"/>
                <w:numId w:val="7"/>
              </w:numPr>
              <w:spacing w:after="120"/>
            </w:pPr>
            <w:r>
              <w:rPr>
                <w:b/>
                <w:bCs/>
                <w:color w:val="1F2937"/>
                <w:sz w:val="22"/>
                <w:szCs w:val="22"/>
              </w:rPr>
              <w:t xml:space="preserve">Niets</w:t>
            </w:r>
            <w:r>
              <w:rPr>
                <w:color w:val="1F2937"/>
                <w:sz w:val="22"/>
                <w:szCs w:val="22"/>
              </w:rPr>
              <w:t xml:space="preserve"> of hooguit een audittabel. Geen bewijswaarde.</w:t>
            </w:r>
          </w:p>
          <w:p>
            <w:pPr>
              <w:pStyle w:val="ListParagraph"/>
              <w:numPr>
                <w:ilvl w:val="0"/>
                <w:numId w:val="7"/>
              </w:numPr>
              <w:spacing w:after="120"/>
            </w:pPr>
            <w:r>
              <w:rPr>
                <w:b/>
                <w:bCs/>
                <w:color w:val="1F2937"/>
                <w:sz w:val="22"/>
                <w:szCs w:val="22"/>
              </w:rPr>
              <w:t xml:space="preserve">Event sourcing of niveau 2,</w:t>
            </w:r>
            <w:r>
              <w:rPr>
                <w:color w:val="1F2937"/>
                <w:sz w:val="22"/>
                <w:szCs w:val="22"/>
              </w:rPr>
              <w:t xml:space="preserve"> en hier speelt iets extra's: medische gegevens zijn bijzondere persoonsgegevens, dus het patroon uit 14.5 is verplicht in plaats van optioneel. Bewaartermijnen zijn hier bovendien strikter begrensd, ook naar boven.</w:t>
            </w:r>
          </w:p>
          <w:p>
            <w:pPr>
              <w:pStyle w:val="ListParagraph"/>
              <w:numPr>
                <w:ilvl w:val="0"/>
                <w:numId w:val="7"/>
              </w:numPr>
              <w:spacing w:after="120"/>
            </w:pPr>
            <w:r>
              <w:rPr>
                <w:b/>
                <w:bCs/>
                <w:color w:val="1F2937"/>
                <w:sz w:val="22"/>
                <w:szCs w:val="22"/>
              </w:rPr>
              <w:t xml:space="preserve">Niets.</w:t>
            </w:r>
            <w:r>
              <w:rPr>
                <w:color w:val="1F2937"/>
                <w:sz w:val="22"/>
                <w:szCs w:val="22"/>
              </w:rPr>
              <w:t xml:space="preserve"/>
            </w:r>
          </w:p>
          <w:p>
            <w:pPr>
              <w:pStyle w:val="ListParagraph"/>
              <w:numPr>
                <w:ilvl w:val="0"/>
                <w:numId w:val="7"/>
              </w:numPr>
              <w:spacing w:after="120"/>
            </w:pPr>
            <w:r>
              <w:rPr>
                <w:b/>
                <w:bCs/>
                <w:color w:val="1F2937"/>
                <w:sz w:val="22"/>
                <w:szCs w:val="22"/>
              </w:rPr>
              <w:t xml:space="preserve">Event sourcing.</w:t>
            </w:r>
            <w:r>
              <w:rPr>
                <w:color w:val="1F2937"/>
                <w:sz w:val="22"/>
                <w:szCs w:val="22"/>
              </w:rPr>
              <w:t xml:space="preserve"> Jaarlijks wijzigende berekeningen plus geschillen tot vijf jaar terug is het schoolvoorbeeld: zonder twee tijdlijnen kunt u een geschil uit 2022 niet beoordelen.</w:t>
            </w:r>
          </w:p>
          <w:p>
            <w:pPr>
              <w:pStyle w:val="ListParagraph"/>
              <w:numPr>
                <w:ilvl w:val="0"/>
                <w:numId w:val="7"/>
              </w:numPr>
              <w:spacing w:after="120"/>
            </w:pPr>
            <w:r>
              <w:rPr>
                <w:b/>
                <w:bCs/>
                <w:color w:val="1F2937"/>
                <w:sz w:val="22"/>
                <w:szCs w:val="22"/>
              </w:rPr>
              <w:t xml:space="preserve">Niets</w:t>
            </w:r>
            <w:r>
              <w:rPr>
                <w:color w:val="1F2937"/>
                <w:sz w:val="22"/>
                <w:szCs w:val="22"/>
              </w:rPr>
              <w:t xml:space="preserve"> — een leesmodel is per definitie afgeleid en heeft geen eigen geschiedenis.</w:t>
            </w:r>
          </w:p>
          <w:p>
            <w:pPr>
              <w:pStyle w:val="ListParagraph"/>
              <w:numPr>
                <w:ilvl w:val="0"/>
                <w:numId w:val="7"/>
              </w:numPr>
              <w:spacing w:after="120"/>
            </w:pPr>
            <w:r>
              <w:rPr>
                <w:b/>
                <w:bCs/>
                <w:color w:val="1F2937"/>
                <w:sz w:val="22"/>
                <w:szCs w:val="22"/>
              </w:rPr>
              <w:t xml:space="preserve">Audittabel, en niet meer.</w:t>
            </w:r>
            <w:r>
              <w:rPr>
                <w:color w:val="1F2937"/>
                <w:sz w:val="22"/>
                <w:szCs w:val="22"/>
              </w:rPr>
              <w:t xml:space="preserve"> Dit is de eerlijkheidstoets: een team dat nooit met gebeurtenissen heeft gewerkt en over vier maanden live moet, gaat event sourcing half toepassen. Halfheid is hier duur — een momentopname die iemand rechtstreeks bijwerkt, en u hebt alle kosten en geen enkele garantie.</w:t>
            </w:r>
          </w:p>
          <w:p>
            <w:pPr>
              <w:spacing w:after="100"/>
            </w:pPr>
          </w:p>
          <w:p>
            <w:pPr>
              <w:spacing w:after="120" w:line="276"/>
            </w:pPr>
            <w:r>
              <w:rPr>
                <w:color w:val="1F2937"/>
                <w:sz w:val="21"/>
                <w:szCs w:val="21"/>
              </w:rPr>
              <w:t xml:space="preserve">Het verdedigbare pad: begin met niveau 2 op één gebied, leer, en breid uit. Dat is dezelfde redenering als het strangler-patroon uit deel 13, toegepast op een denkwijze in plaats van op code.</w:t>
            </w:r>
          </w:p>
        </w:tc>
      </w:tr>
    </w:tbl>
    <w:p>
      <w:pPr>
        <w:spacing w:after="300"/>
      </w:pPr>
    </w:p>
    <w:p>
      <w:pPr>
        <w:pStyle w:val="Heading1"/>
        <w:pBdr>
          <w:bottom w:val="single" w:color="E5E7EB" w:sz="6" w:space="6"/>
        </w:pBdr>
        <w:spacing w:after="180" w:before="380"/>
      </w:pPr>
      <w:r>
        <w:rPr>
          <w:b/>
          <w:bCs/>
          <w:color w:val="1F3A5F"/>
          <w:sz w:val="30"/>
          <w:szCs w:val="30"/>
        </w:rPr>
        <w:t xml:space="preserve">Opdracht 14.7 — Uw eigen systeem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Kan uw systeem de vraag beantwoorden: waarom kreeg deze klant op die datum dit resultaat? Probeer het voor één concreet geval.</w:t>
      </w:r>
    </w:p>
    <w:p>
      <w:pPr>
        <w:pStyle w:val="ListParagraph"/>
        <w:numPr>
          <w:ilvl w:val="0"/>
          <w:numId w:val="2"/>
        </w:numPr>
        <w:spacing w:after="100"/>
      </w:pPr>
      <w:r>
        <w:rPr>
          <w:b/>
          <w:bCs/>
          <w:color w:val="1F2937"/>
          <w:sz w:val="22"/>
          <w:szCs w:val="22"/>
        </w:rPr>
        <w:t xml:space="preserve">b)</w:t>
      </w:r>
      <w:r>
        <w:rPr>
          <w:color w:val="1F2937"/>
          <w:sz w:val="22"/>
          <w:szCs w:val="22"/>
        </w:rPr>
        <w:t xml:space="preserve"> Waar strandt u, en waarom?</w:t>
      </w:r>
    </w:p>
    <w:p>
      <w:pPr>
        <w:pStyle w:val="ListParagraph"/>
        <w:numPr>
          <w:ilvl w:val="0"/>
          <w:numId w:val="2"/>
        </w:numPr>
        <w:spacing w:after="100"/>
      </w:pPr>
      <w:r>
        <w:rPr>
          <w:b/>
          <w:bCs/>
          <w:color w:val="1F2937"/>
          <w:sz w:val="22"/>
          <w:szCs w:val="22"/>
        </w:rPr>
        <w:t xml:space="preserve">c)</w:t>
      </w:r>
      <w:r>
        <w:rPr>
          <w:color w:val="1F2937"/>
          <w:sz w:val="22"/>
          <w:szCs w:val="22"/>
        </w:rPr>
        <w:t xml:space="preserve"> Welk van de vier niveaus zou uw systeem nodig hebben, en welk heeft het?</w:t>
      </w:r>
    </w:p>
    <w:p>
      <w:pPr>
        <w:pStyle w:val="ListParagraph"/>
        <w:numPr>
          <w:ilvl w:val="0"/>
          <w:numId w:val="2"/>
        </w:numPr>
        <w:spacing w:after="100"/>
      </w:pPr>
      <w:r>
        <w:rPr>
          <w:b/>
          <w:bCs/>
          <w:color w:val="1F2937"/>
          <w:sz w:val="22"/>
          <w:szCs w:val="22"/>
        </w:rPr>
        <w:t xml:space="preserve">d)</w:t>
      </w:r>
      <w:r>
        <w:rPr>
          <w:color w:val="1F2937"/>
          <w:sz w:val="22"/>
          <w:szCs w:val="22"/>
        </w:rPr>
        <w:t xml:space="preserve"> Als u niveau 2 zou invoeren op één gebied — welk gebied, en wat kost het?</w:t>
      </w:r>
    </w:p>
    <w:p>
      <w:pPr>
        <w:pStyle w:val="ListParagraph"/>
        <w:numPr>
          <w:ilvl w:val="0"/>
          <w:numId w:val="2"/>
        </w:numPr>
        <w:spacing w:after="100"/>
      </w:pPr>
      <w:r>
        <w:rPr>
          <w:b/>
          <w:bCs/>
          <w:color w:val="1F2937"/>
          <w:sz w:val="22"/>
          <w:szCs w:val="22"/>
        </w:rPr>
        <w:t xml:space="preserve">e)</w:t>
      </w:r>
      <w:r>
        <w:rPr>
          <w:color w:val="1F2937"/>
          <w:sz w:val="22"/>
          <w:szCs w:val="22"/>
        </w:rPr>
        <w:t xml:space="preserve"> Heeft uw systeem twee tijdlijnen? Zo nee: welke vraag kunt u daardoor niet beantwoorden?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14.7</w:t>
            </w:r>
          </w:p>
          <w:p>
            <w:pPr>
              <w:spacing w:after="80"/>
            </w:pPr>
          </w:p>
          <w:p>
            <w:pPr>
              <w:spacing w:after="120" w:line="276"/>
            </w:pPr>
            <w:r>
              <w:rPr>
                <w:color w:val="1F2937"/>
                <w:sz w:val="21"/>
                <w:szCs w:val="21"/>
              </w:rPr>
              <w:t xml:space="preserve">Individueel. Bij b) strandt de reconstructie in de meeste systemen op hetzelfde punt als bij Meridiaan: parameters, tarieven of stamgegevens die zonder historie worden bijgewerkt. Dat is bijna altijd de eerste plek waar niveau 2 loont, en het is bijna nooit de plek waar mensen het zoeken.</w:t>
            </w:r>
          </w:p>
          <w:p>
            <w:pPr>
              <w:spacing w:after="120" w:line="276"/>
            </w:pPr>
            <w:r>
              <w:rPr>
                <w:color w:val="1F2937"/>
                <w:sz w:val="21"/>
                <w:szCs w:val="21"/>
              </w:rPr>
              <w:t xml:space="preserve">Bij e) is het antwoord in de meeste systemen: nee, er is één tijdlijn, en dat is de verwerkingsdatum. De vraag die daardoor onbeantwoordbaar is, luidt: wat wisten wij op moment X — en dat is precies de vraag die bij een geschil of een audit wordt gesteld.</w:t>
            </w:r>
          </w:p>
        </w:tc>
      </w:tr>
    </w:tbl>
    <w:p>
      <w:pPr>
        <w:pBdr>
          <w:top w:val="single" w:color="E5E7EB" w:sz="4" w:space="8"/>
        </w:pBdr>
        <w:spacing w:before="400"/>
        <w:jc w:val="center"/>
      </w:pPr>
      <w:r>
        <w:rPr>
          <w:i/>
          <w:iCs/>
          <w:color w:val="6B7280"/>
          <w:sz w:val="17"/>
          <w:szCs w:val="17"/>
        </w:rPr>
        <w:t xml:space="preserve">Ductus B.V. · Cursus Softwarearchitectuur · Niveau 2, deel 14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2026-08-17T14:51:23.778Z</dcterms:created>
  <dcterms:modified xsi:type="dcterms:W3CDTF">2026-08-17T14:51:23.779Z</dcterms:modified>
</cp:coreProperties>
</file>

<file path=docProps/custom.xml><?xml version="1.0" encoding="utf-8"?>
<Properties xmlns="http://schemas.openxmlformats.org/officeDocument/2006/custom-properties" xmlns:vt="http://schemas.openxmlformats.org/officeDocument/2006/docPropsVTypes"/>
</file>