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15 — Cloud-, infrastructuur- en uitrolarchitectuur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15 van 28 · twee dagdelen</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langste deel van niveau 2 en het meest bedreigde door productdiscussies. Vier onderwerpen die in de praktijk onlosmakelijk samenhangen — waar het draait, hoe het er komt, hoe u weet wat het doet, en wat het kost — zouden elk apart oppervlakkig blijven.</w:t>
      </w:r>
    </w:p>
    <w:p>
      <w:pPr>
        <w:spacing w:after="160" w:line="276"/>
      </w:pPr>
      <w:r>
        <w:rPr>
          <w:b/>
          <w:bCs/>
          <w:color w:val="1F2937"/>
          <w:sz w:val="22"/>
          <w:szCs w:val="22"/>
        </w:rPr>
        <w:t xml:space="preserve">De regel die het deel bijeenhoudt: geen productnamen.</w:t>
      </w:r>
      <w:r>
        <w:rPr>
          <w:color w:val="1F2937"/>
          <w:sz w:val="22"/>
          <w:szCs w:val="22"/>
        </w:rPr>
        <w:t xml:space="preserve"> Dat is niet preutsheid maar noodzaak. Zodra er één product op tafel ligt, gaat de zaal over instellingen praten en niet meer over ontwerp, en de helft van de deelnemers heeft een ander product. Slide 2 zegt het expliciet; herhaal het bij elke gelegenheid.</w:t>
      </w:r>
    </w:p>
    <w:p>
      <w:pPr>
        <w:spacing w:after="160" w:line="276"/>
      </w:pPr>
      <w:r>
        <w:rPr>
          <w:b/>
          <w:bCs/>
          <w:color w:val="1F2937"/>
          <w:sz w:val="22"/>
          <w:szCs w:val="22"/>
        </w:rPr>
        <w:t xml:space="preserve">Wat dit deel tot architectuur maakt </w:t>
      </w:r>
      <w:r>
        <w:rPr>
          <w:color w:val="1F2937"/>
          <w:sz w:val="22"/>
          <w:szCs w:val="22"/>
        </w:rPr>
        <w:t xml:space="preserve">en niet tot beheer: de architectuurtoetsen in de uitrolstraat (de ontwerpregels uit vijf eerdere delen worden hier afdwingbaar), de eis dat twee versies naast elkaar draaien (dat is een applicatie-eis, geen infrastructuurkeuze), en het foutbudget als besluitvormingsinstrument.</w:t>
      </w:r>
    </w:p>
    <w:p>
      <w:pPr>
        <w:spacing w:after="160" w:line="276"/>
      </w:pPr>
      <w:r>
        <w:rPr>
          <w:b/>
          <w:bCs/>
          <w:color w:val="1F2937"/>
          <w:sz w:val="22"/>
          <w:szCs w:val="22"/>
        </w:rPr>
        <w:t xml:space="preserve">Waarschuwing over het publiek.</w:t>
      </w:r>
      <w:r>
        <w:rPr>
          <w:color w:val="1F2937"/>
          <w:sz w:val="22"/>
          <w:szCs w:val="22"/>
        </w:rPr>
        <w:t xml:space="preserve"> Dit deel splijt groepen. Deelnemers met bouw- en beheerervaring vinden het herkenbaar en concreet; deelnemers uit adviesrollen vinden het ver van hun werk staan. De opdrachten met de meeste conceptuele inhoud — 15.3 (configuratie of bedrijfsgegevens), 15.8 (dienstniveaudoelen) en 15.9 (kosten) — zijn voor die tweede groep bedoeld. Zorg dat er per dagdeel minstens één van in de planning staat.</w:t>
      </w:r>
    </w:p>
    <w:p>
      <w:pPr>
        <w:pStyle w:val="Heading1"/>
        <w:pBdr>
          <w:bottom w:val="single" w:color="E5E7EB" w:sz="6" w:space="6"/>
        </w:pBdr>
        <w:spacing w:after="180" w:before="380"/>
      </w:pPr>
      <w:r>
        <w:rPr>
          <w:b/>
          <w:bCs/>
          <w:color w:val="1F3A5F"/>
          <w:sz w:val="30"/>
          <w:szCs w:val="30"/>
        </w:rPr>
        <w:t xml:space="preserve">2. Planning</w:t>
      </w:r>
    </w:p>
    <w:p>
      <w:pPr>
        <w:pStyle w:val="Heading2"/>
        <w:spacing w:after="140" w:before="260"/>
      </w:pPr>
      <w:r>
        <w:rPr>
          <w:b/>
          <w:bCs/>
          <w:color w:val="4A6789"/>
          <w:sz w:val="24"/>
          <w:szCs w:val="24"/>
        </w:rPr>
        <w:t xml:space="preserve">Dagdeel A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Positionering; de gevolgen van de splitsing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0:10–0:40</w:t>
            </w:r>
          </w:p>
        </w:tc>
        <w:tc>
          <w:tcPr>
            <w:tcW w:type="dxa" w:w="4300"/>
            <w:tcMar>
              <w:top w:type="dxa" w:w="100"/>
              <w:left w:type="dxa" w:w="120"/>
              <w:bottom w:type="dxa" w:w="100"/>
              <w:right w:type="dxa" w:w="120"/>
            </w:tcMar>
            <w:vAlign w:val="center"/>
          </w:tcPr>
          <w:p>
            <w:r>
              <w:rPr>
                <w:b w:val="false"/>
                <w:bCs w:val="false"/>
                <w:color w:val="1F2937"/>
                <w:sz w:val="19"/>
                <w:szCs w:val="19"/>
              </w:rPr>
              <w:t xml:space="preserve">Wat aan cloud architectuurrelevant is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5–9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0:40–1:05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15.1 — welke aannames vervallen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1:05–1:15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1:15–1:35</w:t>
            </w:r>
          </w:p>
        </w:tc>
        <w:tc>
          <w:tcPr>
            <w:tcW w:type="dxa" w:w="4300"/>
            <w:tcMar>
              <w:top w:type="dxa" w:w="100"/>
              <w:left w:type="dxa" w:w="120"/>
              <w:bottom w:type="dxa" w:w="100"/>
              <w:right w:type="dxa" w:w="120"/>
            </w:tcMar>
            <w:vAlign w:val="center"/>
          </w:tcPr>
          <w:p>
            <w:r>
              <w:rPr>
                <w:b w:val="false"/>
                <w:bCs w:val="false"/>
                <w:color w:val="1F2937"/>
                <w:sz w:val="19"/>
                <w:szCs w:val="19"/>
              </w:rPr>
              <w:t xml:space="preserve">Omgevingen, configuratie, geheimen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11–15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1:35–1:55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15.3 — configuratie of bedrijfsgegevens</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1:55–2:15</w:t>
            </w:r>
          </w:p>
        </w:tc>
        <w:tc>
          <w:tcPr>
            <w:tcW w:type="dxa" w:w="4300"/>
            <w:tcMar>
              <w:top w:type="dxa" w:w="100"/>
              <w:left w:type="dxa" w:w="120"/>
              <w:bottom w:type="dxa" w:w="100"/>
              <w:right w:type="dxa" w:w="120"/>
            </w:tcMar>
            <w:vAlign w:val="center"/>
          </w:tcPr>
          <w:p>
            <w:r>
              <w:rPr>
                <w:b w:val="false"/>
                <w:bCs w:val="false"/>
                <w:color w:val="1F2937"/>
                <w:sz w:val="19"/>
                <w:szCs w:val="19"/>
              </w:rPr>
              <w:t xml:space="preserve">De uitrolstraat en de architectuurtoetsen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17–20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2:25–3:10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15.4 — de uitrolstraat 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3:10–3:30</w:t>
            </w:r>
          </w:p>
        </w:tc>
        <w:tc>
          <w:tcPr>
            <w:tcW w:type="dxa" w:w="4300"/>
            <w:tcMar>
              <w:top w:type="dxa" w:w="100"/>
              <w:left w:type="dxa" w:w="120"/>
              <w:bottom w:type="dxa" w:w="100"/>
              <w:right w:type="dxa" w:w="120"/>
            </w:tcMar>
            <w:vAlign w:val="center"/>
          </w:tcPr>
          <w:p>
            <w:r>
              <w:rPr>
                <w:b w:val="false"/>
                <w:bCs w:val="false"/>
                <w:color w:val="1F2937"/>
                <w:sz w:val="19"/>
                <w:szCs w:val="19"/>
              </w:rPr>
              <w:t xml:space="preserve">Uitrolstrategieën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21–22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3:30–4:00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15.5 — strategie kiezen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w:t>
            </w:r>
          </w:p>
        </w:tc>
      </w:tr>
    </w:tbl>
    <w:p>
      <w:pPr>
        <w:spacing w:after="300"/>
      </w:pPr>
    </w:p>
    <w:p>
      <w:pPr>
        <w:pStyle w:val="Heading2"/>
        <w:spacing w:after="140" w:before="260"/>
      </w:pPr>
      <w:r>
        <w:rPr>
          <w:b/>
          <w:bCs/>
          <w:color w:val="4A6789"/>
          <w:sz w:val="24"/>
          <w:szCs w:val="24"/>
        </w:rPr>
        <w:t xml:space="preserve">Dagdeel B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0:00–0:20</w:t>
            </w:r>
          </w:p>
        </w:tc>
        <w:tc>
          <w:tcPr>
            <w:tcW w:type="dxa" w:w="4300"/>
            <w:tcMar>
              <w:top w:type="dxa" w:w="100"/>
              <w:left w:type="dxa" w:w="120"/>
              <w:bottom w:type="dxa" w:w="100"/>
              <w:right w:type="dxa" w:w="120"/>
            </w:tcMar>
            <w:vAlign w:val="center"/>
          </w:tcPr>
          <w:p>
            <w:r>
              <w:rPr>
                <w:b w:val="false"/>
                <w:bCs w:val="false"/>
                <w:color w:val="1F2937"/>
                <w:sz w:val="19"/>
                <w:szCs w:val="19"/>
              </w:rPr>
              <w:t xml:space="preserve">Waarneembaarheid versus bewaking; drie soorten gegevens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0:20–0:40</w:t>
            </w:r>
          </w:p>
        </w:tc>
        <w:tc>
          <w:tcPr>
            <w:tcW w:type="dxa" w:w="4300"/>
            <w:tcMar>
              <w:top w:type="dxa" w:w="100"/>
              <w:left w:type="dxa" w:w="120"/>
              <w:bottom w:type="dxa" w:w="100"/>
              <w:right w:type="dxa" w:w="120"/>
            </w:tcMar>
            <w:vAlign w:val="center"/>
          </w:tcPr>
          <w:p>
            <w:r>
              <w:rPr>
                <w:b w:val="false"/>
                <w:bCs w:val="false"/>
                <w:color w:val="1F2937"/>
                <w:sz w:val="19"/>
                <w:szCs w:val="19"/>
              </w:rPr>
              <w:t xml:space="preserve">De zes metrieken; wat níét gebeurt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27–30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0:40–1:15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15.6 — de zes uur stilte</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31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1:25–1:45</w:t>
            </w:r>
          </w:p>
        </w:tc>
        <w:tc>
          <w:tcPr>
            <w:tcW w:type="dxa" w:w="4300"/>
            <w:tcMar>
              <w:top w:type="dxa" w:w="100"/>
              <w:left w:type="dxa" w:w="120"/>
              <w:bottom w:type="dxa" w:w="100"/>
              <w:right w:type="dxa" w:w="120"/>
            </w:tcMar>
            <w:vAlign w:val="center"/>
          </w:tcPr>
          <w:p>
            <w:r>
              <w:rPr>
                <w:b w:val="false"/>
                <w:bCs w:val="false"/>
                <w:color w:val="1F2937"/>
                <w:sz w:val="19"/>
                <w:szCs w:val="19"/>
              </w:rPr>
              <w:t xml:space="preserve">Wat u niet doet; correlatie in de outbox</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32–33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1:45–2:15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15.7 — het waarneembaarheidsconcept</w:t>
            </w:r>
          </w:p>
        </w:tc>
        <w:tc>
          <w:tcPr>
            <w:tcW w:type="dxa" w:w="2300"/>
            <w:tcMar>
              <w:top w:type="dxa" w:w="100"/>
              <w:left w:type="dxa" w:w="120"/>
              <w:bottom w:type="dxa" w:w="100"/>
              <w:right w:type="dxa" w:w="120"/>
            </w:tcMar>
            <w:vAlign w:val="center"/>
          </w:tcPr>
          <w:p>
            <w:r>
              <w:rPr>
                <w:b w:val="false"/>
                <w:bCs w:val="false"/>
                <w:color w:val="1F2937"/>
                <w:sz w:val="19"/>
                <w:szCs w:val="19"/>
              </w:rPr>
              <w:t xml:space="preserve">duo's</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2:25–2:50</w:t>
            </w:r>
          </w:p>
        </w:tc>
        <w:tc>
          <w:tcPr>
            <w:tcW w:type="dxa" w:w="4300"/>
            <w:tcMar>
              <w:top w:type="dxa" w:w="100"/>
              <w:left w:type="dxa" w:w="120"/>
              <w:bottom w:type="dxa" w:w="100"/>
              <w:right w:type="dxa" w:w="120"/>
            </w:tcMar>
            <w:vAlign w:val="center"/>
          </w:tcPr>
          <w:p>
            <w:r>
              <w:rPr>
                <w:b w:val="false"/>
                <w:bCs w:val="false"/>
                <w:color w:val="1F2937"/>
                <w:sz w:val="19"/>
                <w:szCs w:val="19"/>
              </w:rPr>
              <w:t xml:space="preserve">Dienstniveaudoelen en het foutbudget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34–38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2:50–3:25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15.8 — doelen formuleren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39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3:25–3:50</w:t>
            </w:r>
          </w:p>
        </w:tc>
        <w:tc>
          <w:tcPr>
            <w:tcW w:type="dxa" w:w="4300"/>
            <w:tcMar>
              <w:top w:type="dxa" w:w="100"/>
              <w:left w:type="dxa" w:w="120"/>
              <w:bottom w:type="dxa" w:w="100"/>
              <w:right w:type="dxa" w:w="120"/>
            </w:tcMar>
            <w:vAlign w:val="center"/>
          </w:tcPr>
          <w:p>
            <w:r>
              <w:rPr>
                <w:b w:val="false"/>
                <w:bCs w:val="false"/>
                <w:color w:val="1F2937"/>
                <w:sz w:val="19"/>
                <w:szCs w:val="19"/>
              </w:rPr>
              <w:t xml:space="preserve">Kosten als kwaliteitsattribuut; opdracht 15.9</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duo's</w:t>
            </w:r>
          </w:p>
        </w:tc>
        <w:tc>
          <w:tcPr>
            <w:tcW w:type="dxa" w:w="1538"/>
            <w:tcMar>
              <w:top w:type="dxa" w:w="100"/>
              <w:left w:type="dxa" w:w="120"/>
              <w:bottom w:type="dxa" w:w="100"/>
              <w:right w:type="dxa" w:w="120"/>
            </w:tcMar>
            <w:vAlign w:val="center"/>
          </w:tcPr>
          <w:p>
            <w:r>
              <w:rPr>
                <w:b w:val="false"/>
                <w:bCs w:val="false"/>
                <w:color w:val="1F2937"/>
                <w:sz w:val="19"/>
                <w:szCs w:val="19"/>
              </w:rPr>
              <w:t xml:space="preserve">40–43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Huiswerk en vooruitblik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44</w:t>
            </w:r>
          </w:p>
        </w:tc>
      </w:tr>
    </w:tbl>
    <w:p>
      <w:pPr>
        <w:spacing w:after="300"/>
      </w:pPr>
    </w:p>
    <w:p>
      <w:pPr>
        <w:spacing w:after="160" w:line="276"/>
      </w:pPr>
      <w:r>
        <w:rPr>
          <w:b/>
          <w:bCs/>
          <w:color w:val="1F2937"/>
          <w:sz w:val="22"/>
          <w:szCs w:val="22"/>
        </w:rPr>
        <w:t xml:space="preserve">Bij één dagdeel </w:t>
      </w:r>
      <w:r>
        <w:rPr>
          <w:color w:val="1F2937"/>
          <w:sz w:val="22"/>
          <w:szCs w:val="22"/>
        </w:rPr>
        <w:t xml:space="preserve">(sommige klanten willen dit) — dat is niet verantwoord voor het geheel. De werkbare inkorting: dagdeel A volledig, en uit dagdeel B alleen de waarneembaarheid (slides 24–33) met opdracht 15.6. Dienstniveaudoelen en kosten vervallen dan; zeg erbij dat dat gebeurt en waarom.</w:t>
      </w:r>
    </w:p>
    <w:p>
      <w:pPr>
        <w:pStyle w:val="Heading1"/>
        <w:pBdr>
          <w:bottom w:val="single" w:color="E5E7EB" w:sz="6" w:space="6"/>
        </w:pBdr>
        <w:spacing w:after="180" w:before="380"/>
      </w:pPr>
      <w:r>
        <w:rPr>
          <w:b/>
          <w:bCs/>
          <w:color w:val="1F3A5F"/>
          <w:sz w:val="30"/>
          <w:szCs w:val="30"/>
        </w:rPr>
        <w:t xml:space="preserve">3. Dagdeel A: aanpak en sturing</w:t>
      </w:r>
    </w:p>
    <w:p>
      <w:pPr>
        <w:pStyle w:val="Heading2"/>
        <w:spacing w:after="140" w:before="260"/>
      </w:pPr>
      <w:r>
        <w:rPr>
          <w:b/>
          <w:bCs/>
          <w:color w:val="4A6789"/>
          <w:sz w:val="24"/>
          <w:szCs w:val="24"/>
        </w:rPr>
        <w:t xml:space="preserve">3.1 Wat aan cloud architectuurrelevant is (slides 5–10)</w:t>
      </w:r>
    </w:p>
    <w:p>
      <w:pPr>
        <w:spacing w:after="160" w:line="276"/>
      </w:pPr>
      <w:r>
        <w:rPr>
          <w:b/>
          <w:bCs/>
          <w:color w:val="1F2937"/>
          <w:sz w:val="22"/>
          <w:szCs w:val="22"/>
        </w:rPr>
        <w:t xml:space="preserve">Slide 5 is de framing die de productdiscussie voorkomt.</w:t>
      </w:r>
      <w:r>
        <w:rPr>
          <w:color w:val="1F2937"/>
          <w:sz w:val="22"/>
          <w:szCs w:val="22"/>
        </w:rPr>
        <w:t xml:space="preserve"> Drie dingen zijn architectuur, de rest is inkoop. Kom hierop terug zodra iemand over een leverancier begint.</w:t>
      </w:r>
    </w:p>
    <w:p>
      <w:pPr>
        <w:spacing w:after="160" w:line="276"/>
      </w:pPr>
      <w:r>
        <w:rPr>
          <w:b/>
          <w:bCs/>
          <w:color w:val="1F2937"/>
          <w:sz w:val="22"/>
          <w:szCs w:val="22"/>
        </w:rPr>
        <w:t xml:space="preserve">Slide 6, laatste regel, is het belangrijkste punt van dit blok </w:t>
      </w:r>
      <w:r>
        <w:rPr>
          <w:color w:val="1F2937"/>
          <w:sz w:val="22"/>
          <w:szCs w:val="22"/>
        </w:rPr>
        <w:t xml:space="preserve">en het wordt zelden gemaakt: deze aannames vervallen ook zonder cloud, zodra u meer dan één instantie draait. Organisaties schrijven dit werk toe aan "de cloudmigratie" terwijl het de prijs is van horizontaal schalen.</w:t>
      </w:r>
    </w:p>
    <w:p>
      <w:pPr>
        <w:spacing w:after="160" w:line="276"/>
      </w:pPr>
      <w:r>
        <w:rPr>
          <w:b/>
          <w:bCs/>
          <w:color w:val="1F2937"/>
          <w:sz w:val="22"/>
          <w:szCs w:val="22"/>
        </w:rPr>
        <w:t xml:space="preserve">Slide 8–9 (de elasticiteitsval).</w:t>
      </w:r>
      <w:r>
        <w:rPr>
          <w:color w:val="1F2937"/>
          <w:sz w:val="22"/>
          <w:szCs w:val="22"/>
        </w:rPr>
        <w:t xml:space="preserve"> Laat de groep de rekensom zelf maken voordat u slide 9 toont. Twintig instanties tegen twintig aanroepen per seconde levert niets — en erger: het maakt het portaal trager voor 340.000 deelnemers, want de kernadministratie wordt gedeeld.</w:t>
      </w:r>
    </w:p>
    <w:p>
      <w:pPr>
        <w:spacing w:after="160" w:line="276"/>
      </w:pPr>
      <w:r>
        <w:rPr>
          <w:color w:val="1F2937"/>
          <w:sz w:val="22"/>
          <w:szCs w:val="22"/>
        </w:rPr>
        <w:t xml:space="preserve">Dit is de derde keer dat de limiet van twintig aanroepen per seconde beslissend blijkt (deel 2, deel 4, nu). Benoem dat: één goed vastgelegde randvoorwaarde doet drie delen lang werk.</w:t>
      </w:r>
    </w:p>
    <w:p>
      <w:pPr>
        <w:spacing w:after="160" w:line="276"/>
      </w:pPr>
      <w:r>
        <w:rPr>
          <w:b/>
          <w:bCs/>
          <w:color w:val="1F2937"/>
          <w:sz w:val="22"/>
          <w:szCs w:val="22"/>
        </w:rPr>
        <w:t xml:space="preserve">Opdracht 15.1, plenair vooral c) en d).</w:t>
      </w:r>
      <w:r>
        <w:rPr>
          <w:color w:val="1F2937"/>
          <w:sz w:val="22"/>
          <w:szCs w:val="22"/>
        </w:rPr>
        <w:t xml:space="preserve"> Bij c) is het punt bij de bijlagen niet de opslag maar de verwijzing: een gebeurtenis met een lokaal pad is over zeven jaar waardeloos.</w:t>
      </w:r>
    </w:p>
    <w:p>
      <w:pPr>
        <w:pStyle w:val="Heading2"/>
        <w:spacing w:after="140" w:before="260"/>
      </w:pPr>
      <w:r>
        <w:rPr>
          <w:b/>
          <w:bCs/>
          <w:color w:val="4A6789"/>
          <w:sz w:val="24"/>
          <w:szCs w:val="24"/>
        </w:rPr>
        <w:t xml:space="preserve">3.2 Configuratie en geheimen (slides 11–16)</w:t>
      </w:r>
    </w:p>
    <w:p>
      <w:pPr>
        <w:spacing w:after="160" w:line="276"/>
      </w:pPr>
      <w:r>
        <w:rPr>
          <w:b/>
          <w:bCs/>
          <w:color w:val="1F2937"/>
          <w:sz w:val="22"/>
          <w:szCs w:val="22"/>
        </w:rPr>
        <w:t xml:space="preserve">Slide 14 is de terugkoppeling naar deel 14 </w:t>
      </w:r>
      <w:r>
        <w:rPr>
          <w:color w:val="1F2937"/>
          <w:sz w:val="22"/>
          <w:szCs w:val="22"/>
        </w:rPr>
        <w:t xml:space="preserve">en zij landt goed: de reglementparameters oogden als configuratie en waren administratieve gegevens. Daar strandde de reconstructieproef op.</w:t>
      </w:r>
    </w:p>
    <w:p>
      <w:pPr>
        <w:spacing w:after="160" w:line="276"/>
      </w:pPr>
      <w:r>
        <w:rPr>
          <w:b/>
          <w:bCs/>
          <w:color w:val="1F2937"/>
          <w:sz w:val="22"/>
          <w:szCs w:val="22"/>
        </w:rPr>
        <w:t xml:space="preserve">Opdracht 15.3, bespreek 2, 4 en 6.</w:t>
      </w:r>
      <w:r>
        <w:rPr>
          <w:color w:val="1F2937"/>
          <w:sz w:val="22"/>
          <w:szCs w:val="22"/>
        </w:rPr>
        <w:t xml:space="preserve"> Item 4 (de waarschuwingsdrempel) is het twijfelgeval en het kantelt op de vraag wie de drempel bepaalt: technische ruisbeperking of operationele norm waarop beheer wordt aangesproken.</w:t>
      </w:r>
    </w:p>
    <w:p>
      <w:pPr>
        <w:spacing w:after="160" w:line="276"/>
      </w:pPr>
      <w:r>
        <w:rPr>
          <w:b/>
          <w:bCs/>
          <w:color w:val="1F2937"/>
          <w:sz w:val="22"/>
          <w:szCs w:val="22"/>
        </w:rPr>
        <w:t xml:space="preserve">Het patroon dat moet vallen: </w:t>
      </w:r>
      <w:r>
        <w:rPr>
          <w:color w:val="1F2937"/>
          <w:sz w:val="22"/>
          <w:szCs w:val="22"/>
        </w:rPr>
        <w:t xml:space="preserve">de vraag is niet hoe het gegeven eruitziet maar wie het wijzigt en wat de gevolgen zijn. Alles wat een uitkomst richting deelnemer of toezichthouder beïnvloedt, is bedrijfsgegeven.</w:t>
      </w:r>
    </w:p>
    <w:p>
      <w:pPr>
        <w:pStyle w:val="Heading2"/>
        <w:spacing w:after="140" w:before="260"/>
      </w:pPr>
      <w:r>
        <w:rPr>
          <w:b/>
          <w:bCs/>
          <w:color w:val="4A6789"/>
          <w:sz w:val="24"/>
          <w:szCs w:val="24"/>
        </w:rPr>
        <w:t xml:space="preserve">3.3 De uitrolstraat (slides 17–20, opdracht 15.4)</w:t>
      </w:r>
    </w:p>
    <w:p>
      <w:pPr>
        <w:spacing w:after="160" w:line="276"/>
      </w:pPr>
      <w:r>
        <w:rPr>
          <w:b/>
          <w:bCs/>
          <w:color w:val="1F2937"/>
          <w:sz w:val="22"/>
          <w:szCs w:val="22"/>
        </w:rPr>
        <w:t xml:space="preserve">Dit is het zwaartepunt van dagdeel A.</w:t>
      </w:r>
      <w:r>
        <w:rPr>
          <w:color w:val="1F2937"/>
          <w:sz w:val="22"/>
          <w:szCs w:val="22"/>
        </w:rPr>
        <w:t xml:space="preserve"/>
      </w:r>
    </w:p>
    <w:p>
      <w:pPr>
        <w:spacing w:after="160" w:line="276"/>
      </w:pPr>
      <w:r>
        <w:rPr>
          <w:b/>
          <w:bCs/>
          <w:color w:val="1F2937"/>
          <w:sz w:val="22"/>
          <w:szCs w:val="22"/>
        </w:rPr>
        <w:t xml:space="preserve">Slide 19 is de kernzin: </w:t>
      </w:r>
      <w:r>
        <w:rPr>
          <w:color w:val="1F2937"/>
          <w:sz w:val="22"/>
          <w:szCs w:val="22"/>
        </w:rPr>
        <w:t xml:space="preserve">elke ontwerpregel die u niet in de straat toetst, hangt van oplettendheid af. Dit is de vierde keer dat de borgingsladder uit deel 9 terugkomt; deelnemers herkennen hem inmiddels.</w:t>
      </w:r>
    </w:p>
    <w:p>
      <w:pPr>
        <w:spacing w:after="160" w:line="276"/>
      </w:pPr>
      <w:r>
        <w:rPr>
          <w:b/>
          <w:bCs/>
          <w:color w:val="1F2937"/>
          <w:sz w:val="22"/>
          <w:szCs w:val="22"/>
        </w:rPr>
        <w:t xml:space="preserve">Opdracht 15.4, drie interventies:</w:t>
      </w:r>
      <w:r>
        <w:rPr>
          <w:color w:val="1F2937"/>
          <w:sz w:val="22"/>
          <w:szCs w:val="22"/>
        </w:rPr>
        <w:t xml:space="preserve"/>
      </w:r>
    </w:p>
    <w:p>
      <w:pPr>
        <w:pStyle w:val="ListParagraph"/>
        <w:numPr>
          <w:ilvl w:val="0"/>
          <w:numId w:val="2"/>
        </w:numPr>
        <w:spacing w:after="120"/>
      </w:pPr>
      <w:r>
        <w:rPr>
          <w:b/>
          <w:bCs/>
          <w:color w:val="1F2937"/>
          <w:sz w:val="22"/>
          <w:szCs w:val="22"/>
        </w:rPr>
        <w:t xml:space="preserve">Groepen ontwerpen toetsen zonder foutmelding.</w:t>
      </w:r>
      <w:r>
        <w:rPr>
          <w:color w:val="1F2937"/>
          <w:sz w:val="22"/>
          <w:szCs w:val="22"/>
        </w:rPr>
        <w:t xml:space="preserve"> Onderdeel b) vraagt expliciet wat de ontwikkelaar ziet. Een toets die faalt met een technische melding zonder handelingsperspectief wordt ervaren als obstakel en staat over een jaar uit; met een melding die de regel benoemt én het alternatief noemt, wordt zij ervaren als hulp. Dat verschil bepaalt of de investering blijft.</w:t>
      </w:r>
    </w:p>
    <w:p>
      <w:pPr>
        <w:pStyle w:val="ListParagraph"/>
        <w:numPr>
          <w:ilvl w:val="0"/>
          <w:numId w:val="2"/>
        </w:numPr>
        <w:spacing w:after="120"/>
      </w:pPr>
      <w:r>
        <w:rPr>
          <w:b/>
          <w:bCs/>
          <w:color w:val="1F2937"/>
          <w:sz w:val="22"/>
          <w:szCs w:val="22"/>
        </w:rPr>
        <w:t xml:space="preserve">Alles moet in de straat.</w:t>
      </w:r>
      <w:r>
        <w:rPr>
          <w:color w:val="1F2937"/>
          <w:sz w:val="22"/>
          <w:szCs w:val="22"/>
        </w:rPr>
        <w:t xml:space="preserve"> Corrigeer met onderdeel c): de wijzigbaarheidsproef en de reconstructieproef zijn niet automatiseerbaar, en dat was in deel 6 van niveau 1 al vastgesteld. Dat is geen tekortkoming.</w:t>
      </w:r>
    </w:p>
    <w:p>
      <w:pPr>
        <w:pStyle w:val="ListParagraph"/>
        <w:numPr>
          <w:ilvl w:val="0"/>
          <w:numId w:val="2"/>
        </w:numPr>
        <w:spacing w:after="120"/>
      </w:pPr>
      <w:r>
        <w:rPr>
          <w:b/>
          <w:bCs/>
          <w:color w:val="1F2937"/>
          <w:sz w:val="22"/>
          <w:szCs w:val="22"/>
        </w:rPr>
        <w:t xml:space="preserve">Onderdeel e) wordt weggewuifd </w:t>
      </w:r>
      <w:r>
        <w:rPr>
          <w:color w:val="1F2937"/>
          <w:sz w:val="22"/>
          <w:szCs w:val="22"/>
        </w:rPr>
        <w:t xml:space="preserve">("die zetten we later wel goed"). Dit is het belangrijkste onderdeel: tien onbetrouwbare toetsen zijn slechter dan drie betrouwbare, want het faalsignaal verliest zijn betekenis en wordt genegeerd — ook als het echt is.</w:t>
      </w:r>
    </w:p>
    <w:p>
      <w:pPr>
        <w:pStyle w:val="Heading2"/>
        <w:spacing w:after="140" w:before="260"/>
      </w:pPr>
      <w:r>
        <w:rPr>
          <w:b/>
          <w:bCs/>
          <w:color w:val="4A6789"/>
          <w:sz w:val="24"/>
          <w:szCs w:val="24"/>
        </w:rPr>
        <w:t xml:space="preserve">3.4 Uitrolstrategieën (slides 21–23)</w:t>
      </w:r>
    </w:p>
    <w:p>
      <w:pPr>
        <w:spacing w:after="160" w:line="276"/>
      </w:pPr>
      <w:r>
        <w:rPr>
          <w:b/>
          <w:bCs/>
          <w:color w:val="1F2937"/>
          <w:sz w:val="22"/>
          <w:szCs w:val="22"/>
        </w:rPr>
        <w:t xml:space="preserve">Slide 22 is de eis die het vaakst wordt gemist, </w:t>
      </w:r>
      <w:r>
        <w:rPr>
          <w:color w:val="1F2937"/>
          <w:sz w:val="22"/>
          <w:szCs w:val="22"/>
        </w:rPr>
        <w:t xml:space="preserve">en zij is een applicatie-eis en geen infrastructuurkeuze. Dat maakt dit onderwerp architectuur.</w:t>
      </w:r>
    </w:p>
    <w:p>
      <w:pPr>
        <w:spacing w:after="160" w:line="276"/>
      </w:pPr>
      <w:r>
        <w:rPr>
          <w:b/>
          <w:bCs/>
          <w:color w:val="1F2937"/>
          <w:sz w:val="22"/>
          <w:szCs w:val="22"/>
        </w:rPr>
        <w:t xml:space="preserve">Opdracht 15.5, onderdeel d) is de vraag die het dagdeel afsluit.</w:t>
      </w:r>
      <w:r>
        <w:rPr>
          <w:color w:val="1F2937"/>
          <w:sz w:val="22"/>
          <w:szCs w:val="22"/>
        </w:rPr>
        <w:t xml:space="preserve"> Terugdraaien van code is eenvoudig; terugdraaien van gegevenswijzigingen zelden. Wie dat niet vooraf heeft doordacht, ontdekt tijdens een storing dat terugdraaien geen optie is — en dan is het gesprek slecht getimed.</w:t>
      </w:r>
    </w:p>
    <w:p>
      <w:pPr>
        <w:pStyle w:val="Heading1"/>
        <w:pBdr>
          <w:bottom w:val="single" w:color="E5E7EB" w:sz="6" w:space="6"/>
        </w:pBdr>
        <w:spacing w:after="180" w:before="380"/>
      </w:pPr>
      <w:r>
        <w:rPr>
          <w:b/>
          <w:bCs/>
          <w:color w:val="1F3A5F"/>
          <w:sz w:val="30"/>
          <w:szCs w:val="30"/>
        </w:rPr>
        <w:t xml:space="preserve">4. Dagdeel B: aanpak en sturing</w:t>
      </w:r>
    </w:p>
    <w:p>
      <w:pPr>
        <w:pStyle w:val="Heading2"/>
        <w:spacing w:after="140" w:before="260"/>
      </w:pPr>
      <w:r>
        <w:rPr>
          <w:b/>
          <w:bCs/>
          <w:color w:val="4A6789"/>
          <w:sz w:val="24"/>
          <w:szCs w:val="24"/>
        </w:rPr>
        <w:t xml:space="preserve">4.1 Waarneembaarheid (slides 24–33)</w:t>
      </w:r>
    </w:p>
    <w:p>
      <w:pPr>
        <w:spacing w:after="160" w:line="276"/>
      </w:pPr>
      <w:r>
        <w:rPr>
          <w:b/>
          <w:bCs/>
          <w:color w:val="1F2937"/>
          <w:sz w:val="22"/>
          <w:szCs w:val="22"/>
        </w:rPr>
        <w:t xml:space="preserve">Slide 25 is het onderscheid dat het hele dagdeel draagt: </w:t>
      </w:r>
      <w:r>
        <w:rPr>
          <w:color w:val="1F2937"/>
          <w:sz w:val="22"/>
          <w:szCs w:val="22"/>
        </w:rPr>
        <w:t xml:space="preserve">bewaking beantwoordt vragen die u vooraf bedacht; de storingen die u had voorzien, hebt u al voorkomen.</w:t>
      </w:r>
    </w:p>
    <w:p>
      <w:pPr>
        <w:spacing w:after="160" w:line="276"/>
      </w:pPr>
      <w:r>
        <w:rPr>
          <w:b/>
          <w:bCs/>
          <w:color w:val="1F2937"/>
          <w:sz w:val="22"/>
          <w:szCs w:val="22"/>
        </w:rPr>
        <w:t xml:space="preserve">Slide 27–28.</w:t>
      </w:r>
      <w:r>
        <w:rPr>
          <w:color w:val="1F2937"/>
          <w:sz w:val="22"/>
          <w:szCs w:val="22"/>
        </w:rPr>
        <w:t xml:space="preserve"> De zes metrieken zijn kort en dat is opzet. Twee van de zes meten iets dat níét gebeurt, en dat is de belangrijkste les. Laat de groep raden welke twee voordat u het toont.</w:t>
      </w:r>
    </w:p>
    <w:p>
      <w:pPr>
        <w:spacing w:after="160" w:line="276"/>
      </w:pPr>
      <w:r>
        <w:rPr>
          <w:b/>
          <w:bCs/>
          <w:color w:val="1F2937"/>
          <w:sz w:val="22"/>
          <w:szCs w:val="22"/>
        </w:rPr>
        <w:t xml:space="preserve">Opdracht 15.6 is het sterkste onderdeel van dagdeel B.</w:t>
      </w:r>
      <w:r>
        <w:rPr>
          <w:color w:val="1F2937"/>
          <w:sz w:val="22"/>
          <w:szCs w:val="22"/>
        </w:rPr>
        <w:t xml:space="preserve"> De zes uur stilte is een concrete storing waarin niets faalde — er werd gewacht. Dat is stille stilstand uit deel 6 van niveau 1, nu met kosten.</w:t>
      </w:r>
    </w:p>
    <w:p>
      <w:pPr>
        <w:spacing w:after="160" w:line="276"/>
      </w:pPr>
      <w:r>
        <w:rPr>
          <w:color w:val="1F2937"/>
          <w:sz w:val="22"/>
          <w:szCs w:val="22"/>
        </w:rPr>
        <w:t xml:space="preserve">Bij onderdeel d) (de melding ontwerpen) is de toets: kan de ontvanger op grond hiervan beslissen wat hij doet? Zo nee, is het geen melding maar ruis. Deelnemers die dat criterium meenemen naar hun werk, verbeteren hun alarmering meer dan met welk product ook.</w:t>
      </w:r>
    </w:p>
    <w:p>
      <w:pPr>
        <w:spacing w:after="160" w:line="276"/>
      </w:pPr>
      <w:r>
        <w:rPr>
          <w:b/>
          <w:bCs/>
          <w:color w:val="1F2937"/>
          <w:sz w:val="22"/>
          <w:szCs w:val="22"/>
        </w:rPr>
        <w:t xml:space="preserve">Slide 33 (correlatie in de outbox) is het technische detail dat het vaakst ontbreekt.</w:t>
      </w:r>
      <w:r>
        <w:rPr>
          <w:color w:val="1F2937"/>
          <w:sz w:val="22"/>
          <w:szCs w:val="22"/>
        </w:rPr>
        <w:t xml:space="preserve"> Zonder correlatie in de outbox-regel breekt de keten precies op de asynchrone grens — waar zij het hardst nodig is. Dit is de plek waar B7 uit niveau 1 opnieuw kan ontstaan.</w:t>
      </w:r>
    </w:p>
    <w:p>
      <w:pPr>
        <w:pStyle w:val="Heading2"/>
        <w:spacing w:after="140" w:before="260"/>
      </w:pPr>
      <w:r>
        <w:rPr>
          <w:b/>
          <w:bCs/>
          <w:color w:val="4A6789"/>
          <w:sz w:val="24"/>
          <w:szCs w:val="24"/>
        </w:rPr>
        <w:t xml:space="preserve">4.2 Dienstniveaudoelen (slides 34–39)</w:t>
      </w:r>
    </w:p>
    <w:p>
      <w:pPr>
        <w:spacing w:after="160" w:line="276"/>
      </w:pPr>
      <w:r>
        <w:rPr>
          <w:b/>
          <w:bCs/>
          <w:color w:val="1F2937"/>
          <w:sz w:val="22"/>
          <w:szCs w:val="22"/>
        </w:rPr>
        <w:t xml:space="preserve">Dit blok is voor deelnemers uit adviesrollen het waardevolst </w:t>
      </w:r>
      <w:r>
        <w:rPr>
          <w:color w:val="1F2937"/>
          <w:sz w:val="22"/>
          <w:szCs w:val="22"/>
        </w:rPr>
        <w:t xml:space="preserve">en het is voor bouwers vaak nieuw als besluitvormingsinstrument.</w:t>
      </w:r>
    </w:p>
    <w:p>
      <w:pPr>
        <w:spacing w:after="160" w:line="276"/>
      </w:pPr>
      <w:r>
        <w:rPr>
          <w:b/>
          <w:bCs/>
          <w:color w:val="1F2937"/>
          <w:sz w:val="22"/>
          <w:szCs w:val="22"/>
        </w:rPr>
        <w:t xml:space="preserve">Slide 37 is de kern: </w:t>
      </w:r>
      <w:r>
        <w:rPr>
          <w:color w:val="1F2937"/>
          <w:sz w:val="22"/>
          <w:szCs w:val="22"/>
        </w:rPr>
        <w:t xml:space="preserve">het foutbudget maakt van een meningsverschil een rekensom. Dat is een sterkere positie dan een beroep op zorgvuldigheid, en het is precies het soort argument dat een architect in een stuurgroep nodig heeft.</w:t>
      </w:r>
    </w:p>
    <w:p>
      <w:pPr>
        <w:spacing w:after="160" w:line="276"/>
      </w:pPr>
      <w:r>
        <w:rPr>
          <w:b/>
          <w:bCs/>
          <w:color w:val="1F2937"/>
          <w:sz w:val="22"/>
          <w:szCs w:val="22"/>
        </w:rPr>
        <w:t xml:space="preserve">Opdracht 15.8, twee punten:</w:t>
      </w:r>
      <w:r>
        <w:rPr>
          <w:color w:val="1F2937"/>
          <w:sz w:val="22"/>
          <w:szCs w:val="22"/>
        </w:rPr>
        <w:t xml:space="preserve"/>
      </w:r>
    </w:p>
    <w:p>
      <w:pPr>
        <w:pStyle w:val="ListParagraph"/>
        <w:numPr>
          <w:ilvl w:val="0"/>
          <w:numId w:val="3"/>
        </w:numPr>
        <w:spacing w:after="100"/>
      </w:pPr>
      <w:r>
        <w:rPr>
          <w:b/>
          <w:bCs/>
          <w:color w:val="1F2937"/>
          <w:sz w:val="22"/>
          <w:szCs w:val="22"/>
        </w:rPr>
        <w:t xml:space="preserve">Bij b) ontdekken groepen het probleem van lage aantallen.</w:t>
      </w:r>
      <w:r>
        <w:rPr>
          <w:color w:val="1F2937"/>
          <w:sz w:val="22"/>
          <w:szCs w:val="22"/>
        </w:rPr>
        <w:t xml:space="preserve"> Bij 250 batches per maand geeft 99% een budget van 2,5 — feitelijk twee. Bij lage aantallen is een percentagedoel betekenisloos of onhaalbaar streng; formuleer dan absoluut.</w:t>
      </w:r>
    </w:p>
    <w:p>
      <w:pPr>
        <w:pStyle w:val="ListParagraph"/>
        <w:numPr>
          <w:ilvl w:val="0"/>
          <w:numId w:val="3"/>
        </w:numPr>
        <w:spacing w:after="100"/>
      </w:pPr>
      <w:r>
        <w:rPr>
          <w:b/>
          <w:bCs/>
          <w:color w:val="1F2937"/>
          <w:sz w:val="22"/>
          <w:szCs w:val="22"/>
        </w:rPr>
        <w:t xml:space="preserve">Onderdeel e) is het hoogtepunt.</w:t>
      </w:r>
      <w:r>
        <w:rPr>
          <w:color w:val="1F2937"/>
          <w:sz w:val="22"/>
          <w:szCs w:val="22"/>
        </w:rPr>
        <w:t xml:space="preserve"> Laat twee groepen het gesprek voeren. Het goede argument is niet "het is niet veilig" maar de rekensom met de conversie-uitrol op de 20e. Acceptabele uitkomsten zijn kanarie, uitstel, of bewust uitrollen mét verschuiving van de conversie — onacceptabel is de discussie zonder getallen.</w:t>
      </w:r>
    </w:p>
    <w:p>
      <w:pPr>
        <w:spacing w:after="160" w:line="276"/>
      </w:pPr>
      <w:r>
        <w:rPr>
          <w:b/>
          <w:bCs/>
          <w:color w:val="1F2937"/>
          <w:sz w:val="22"/>
          <w:szCs w:val="22"/>
        </w:rPr>
        <w:t xml:space="preserve">Slide 38, eerste punt </w:t>
      </w:r>
      <w:r>
        <w:rPr>
          <w:color w:val="1F2937"/>
          <w:sz w:val="22"/>
          <w:szCs w:val="22"/>
        </w:rPr>
        <w:t xml:space="preserve">verdient nadruk: een doel van 100% is een weigering te kiezen. Groepen komen daar zelf op zodra zij het foutbudget uitrekenen.</w:t>
      </w:r>
    </w:p>
    <w:p>
      <w:pPr>
        <w:pStyle w:val="Heading2"/>
        <w:spacing w:after="140" w:before="260"/>
      </w:pPr>
      <w:r>
        <w:rPr>
          <w:b/>
          <w:bCs/>
          <w:color w:val="4A6789"/>
          <w:sz w:val="24"/>
          <w:szCs w:val="24"/>
        </w:rPr>
        <w:t xml:space="preserve">4.3 Kosten (slides 40–43, opdracht 15.9)</w:t>
      </w:r>
    </w:p>
    <w:p>
      <w:pPr>
        <w:spacing w:after="160" w:line="276"/>
      </w:pPr>
      <w:r>
        <w:rPr>
          <w:b/>
          <w:bCs/>
          <w:color w:val="1F2937"/>
          <w:sz w:val="22"/>
          <w:szCs w:val="22"/>
        </w:rPr>
        <w:t xml:space="preserve">Kort maar niet overslaan.</w:t>
      </w:r>
      <w:r>
        <w:rPr>
          <w:color w:val="1F2937"/>
          <w:sz w:val="22"/>
          <w:szCs w:val="22"/>
        </w:rPr>
        <w:t xml:space="preserve"> Dit is het onderwerp waarvan architecten het vaakst zeggen dat het niet hun terrein is, en waarover een half jaar later zonder hen wordt besloten.</w:t>
      </w:r>
    </w:p>
    <w:p>
      <w:pPr>
        <w:spacing w:after="160" w:line="276"/>
      </w:pPr>
      <w:r>
        <w:rPr>
          <w:b/>
          <w:bCs/>
          <w:color w:val="1F2937"/>
          <w:sz w:val="22"/>
          <w:szCs w:val="22"/>
        </w:rPr>
        <w:t xml:space="preserve">Bij opdracht 15.9c </w:t>
      </w:r>
      <w:r>
        <w:rPr>
          <w:color w:val="1F2937"/>
          <w:sz w:val="22"/>
          <w:szCs w:val="22"/>
        </w:rPr>
        <w:t xml:space="preserve">is de uitkomst doorgaans geruststellend: zeven jaar gebeurtenissen kost minder dan men vreest, want gebeurtenissen zijn klein. De kostenzorg rond event sourcing is vaker gevoel dan berekening, en dat is een nuttige constatering.</w:t>
      </w:r>
    </w:p>
    <w:p>
      <w:pPr>
        <w:spacing w:after="160" w:line="276"/>
      </w:pPr>
      <w:r>
        <w:rPr>
          <w:color w:val="1F2937"/>
          <w:sz w:val="22"/>
          <w:szCs w:val="22"/>
        </w:rPr>
        <w:t xml:space="preserve">Wat wél verandert: bijlagen horen niet in de gebeurtenisstroom. Dat was 15.1c en het is nu ook een kostenargument — twee onafhankelijke redenen voor dezelfde keuze.</w:t>
      </w:r>
    </w:p>
    <w:p>
      <w:pPr>
        <w:spacing w:after="160" w:line="276"/>
      </w:pPr>
      <w:r>
        <w:rPr>
          <w:b/>
          <w:bCs/>
          <w:color w:val="1F2937"/>
          <w:sz w:val="22"/>
          <w:szCs w:val="22"/>
        </w:rPr>
        <w:t xml:space="preserve">Slide 43 is de afsluitende zin </w:t>
      </w:r>
      <w:r>
        <w:rPr>
          <w:color w:val="1F2937"/>
          <w:sz w:val="22"/>
          <w:szCs w:val="22"/>
        </w:rPr>
        <w:t xml:space="preserve">en zij is bedoeld als aansporing, niet als verwijt.</w:t>
      </w:r>
    </w:p>
    <w:p>
      <w:pPr>
        <w:pStyle w:val="Heading1"/>
        <w:pBdr>
          <w:bottom w:val="single" w:color="E5E7EB" w:sz="6" w:space="6"/>
        </w:pBdr>
        <w:spacing w:after="180" w:before="380"/>
      </w:pPr>
      <w:r>
        <w:rPr>
          <w:b/>
          <w:bCs/>
          <w:color w:val="1F3A5F"/>
          <w:sz w:val="30"/>
          <w:szCs w:val="30"/>
        </w:rPr>
        <w:t xml:space="preserve">5. Omgaan met bijzondere situaties</w:t>
      </w:r>
    </w:p>
    <w:p>
      <w:pPr>
        <w:spacing w:after="160" w:line="276"/>
      </w:pPr>
      <w:r>
        <w:rPr>
          <w:b/>
          <w:bCs/>
          <w:color w:val="1F2937"/>
          <w:sz w:val="22"/>
          <w:szCs w:val="22"/>
        </w:rPr>
        <w:t xml:space="preserve">De productdiscussie.</w:t>
      </w:r>
      <w:r>
        <w:rPr>
          <w:color w:val="1F2937"/>
          <w:sz w:val="22"/>
          <w:szCs w:val="22"/>
        </w:rPr>
        <w:t xml:space="preserve"> Onvermijdelijk, en u kapt hem af met slide 5: drie dingen zijn architectuur, de rest is inkoop. Als de groep aandringt, bied dan aan het na afloop informeel te bespreken — dat werkt beter dan een verbod.</w:t>
      </w:r>
    </w:p>
    <w:p>
      <w:pPr>
        <w:spacing w:after="160" w:line="276"/>
      </w:pPr>
      <w:r>
        <w:rPr>
          <w:b/>
          <w:bCs/>
          <w:color w:val="1F2937"/>
          <w:sz w:val="22"/>
          <w:szCs w:val="22"/>
        </w:rPr>
        <w:t xml:space="preserve">"Wij mogen niet naar de cloud."</w:t>
      </w:r>
      <w:r>
        <w:rPr>
          <w:color w:val="1F2937"/>
          <w:sz w:val="22"/>
          <w:szCs w:val="22"/>
        </w:rPr>
        <w:t xml:space="preserve"> Veelvoorkomend bij pensioenuitvoerders en soms terecht. Het is geen probleem voor dit deel: vrijwel alles hier geldt ook op eigen infrastructuur zodra u containers en meerdere instanties gebruikt. Zeg dat vroeg, anders haakt die deelnemer af bij slide 5.</w:t>
      </w:r>
    </w:p>
    <w:p>
      <w:pPr>
        <w:spacing w:after="160" w:line="276"/>
      </w:pPr>
      <w:r>
        <w:rPr>
          <w:b/>
          <w:bCs/>
          <w:color w:val="1F2937"/>
          <w:sz w:val="22"/>
          <w:szCs w:val="22"/>
        </w:rPr>
        <w:t xml:space="preserve">"Dit is beheerwerk, geen architectuur."</w:t>
      </w:r>
      <w:r>
        <w:rPr>
          <w:color w:val="1F2937"/>
          <w:sz w:val="22"/>
          <w:szCs w:val="22"/>
        </w:rPr>
        <w:t xml:space="preserve"> Neem het serieus en beantwoord het met drie voorbeelden: de architectuurtoetsen dwingen uw ontwerpregels af, de eis van twee gelijktijdige versies is een applicatie-eis, en het foutbudget is een ontwerpafweging. Wat wél beheerwerk is — welk product, welke instellingen — behandelen wij niet.</w:t>
      </w:r>
    </w:p>
    <w:p>
      <w:pPr>
        <w:spacing w:after="160" w:line="276"/>
      </w:pPr>
      <w:r>
        <w:rPr>
          <w:b/>
          <w:bCs/>
          <w:color w:val="1F2937"/>
          <w:sz w:val="22"/>
          <w:szCs w:val="22"/>
        </w:rPr>
        <w:t xml:space="preserve">De DevOps-discussie over verantwoordelijkheden.</w:t>
      </w:r>
      <w:r>
        <w:rPr>
          <w:color w:val="1F2937"/>
          <w:sz w:val="22"/>
          <w:szCs w:val="22"/>
        </w:rPr>
        <w:t xml:space="preserve"> Interessant en het hoort in deel 21 (teamindeling). Parkeer.</w:t>
      </w:r>
    </w:p>
    <w:p>
      <w:pPr>
        <w:spacing w:after="160" w:line="276"/>
      </w:pPr>
      <w:r>
        <w:rPr>
          <w:b/>
          <w:bCs/>
          <w:color w:val="1F2937"/>
          <w:sz w:val="22"/>
          <w:szCs w:val="22"/>
        </w:rPr>
        <w:t xml:space="preserve">De groep is technisch veel verder dan het materiaal.</w:t>
      </w:r>
      <w:r>
        <w:rPr>
          <w:color w:val="1F2937"/>
          <w:sz w:val="22"/>
          <w:szCs w:val="22"/>
        </w:rPr>
        <w:t xml:space="preserve"> Komt voor bij platformteams. Verschuif dan het zwaartepunt naar 15.3, 15.8 en 15.9 — de conceptuele opdrachten — en behandel de straat en de strategieën in vogelvlucht.</w:t>
      </w:r>
    </w:p>
    <w:p>
      <w:pPr>
        <w:pStyle w:val="Heading1"/>
        <w:pBdr>
          <w:bottom w:val="single" w:color="E5E7EB" w:sz="6" w:space="6"/>
        </w:pBdr>
        <w:spacing w:after="180" w:before="380"/>
      </w:pPr>
      <w:r>
        <w:rPr>
          <w:b/>
          <w:bCs/>
          <w:color w:val="1F3A5F"/>
          <w:sz w:val="30"/>
          <w:szCs w:val="30"/>
        </w:rPr>
        <w:t xml:space="preserve">6. Signalen om mee te nemen</w:t>
      </w:r>
    </w:p>
    <w:p>
      <w:pPr>
        <w:pStyle w:val="ListParagraph"/>
        <w:numPr>
          <w:ilvl w:val="0"/>
          <w:numId w:val="4"/>
        </w:numPr>
        <w:spacing w:after="120"/>
      </w:pPr>
      <w:r>
        <w:rPr>
          <w:color w:val="1F2937"/>
          <w:sz w:val="22"/>
          <w:szCs w:val="22"/>
        </w:rPr>
        <w:t xml:space="preserve">Wie ontwerpt toetsen zonder handelingsperspectief in de foutmelding? Bouwt borging die binnen een jaar wordt uitgezet.</w:t>
      </w:r>
    </w:p>
    <w:p>
      <w:pPr>
        <w:pStyle w:val="ListParagraph"/>
        <w:numPr>
          <w:ilvl w:val="0"/>
          <w:numId w:val="4"/>
        </w:numPr>
        <w:spacing w:after="120"/>
      </w:pPr>
      <w:r>
        <w:rPr>
          <w:color w:val="1F2937"/>
          <w:sz w:val="22"/>
          <w:szCs w:val="22"/>
        </w:rPr>
        <w:t xml:space="preserve">Wie noemt bij opdracht 15.7c geen metriek die iets meet dat níét gebeurt? Zal stille stilstand opnieuw missen; dit is het derde deel waarin dit patroon terugkomt.</w:t>
      </w:r>
    </w:p>
    <w:p>
      <w:pPr>
        <w:pStyle w:val="ListParagraph"/>
        <w:numPr>
          <w:ilvl w:val="0"/>
          <w:numId w:val="4"/>
        </w:numPr>
        <w:spacing w:after="120"/>
      </w:pPr>
      <w:r>
        <w:rPr>
          <w:color w:val="1F2937"/>
          <w:sz w:val="22"/>
          <w:szCs w:val="22"/>
        </w:rPr>
        <w:t xml:space="preserve">Wie voert het gesprek bij 15.8e zonder getallen? Mist het hele punt van het foutbudget en zal in niveau 3 moeite hebben met bestuurlijke onderhandeling.</w:t>
      </w:r>
    </w:p>
    <w:p>
      <w:pPr>
        <w:pStyle w:val="Heading1"/>
        <w:pBdr>
          <w:bottom w:val="single" w:color="E5E7EB" w:sz="6" w:space="6"/>
        </w:pBdr>
        <w:spacing w:after="180" w:before="380"/>
      </w:pPr>
      <w:r>
        <w:rPr>
          <w:b/>
          <w:bCs/>
          <w:color w:val="1F3A5F"/>
          <w:sz w:val="30"/>
          <w:szCs w:val="30"/>
        </w:rPr>
        <w:t xml:space="preserve">7. Benodigdheden</w:t>
      </w:r>
    </w:p>
    <w:p>
      <w:pPr>
        <w:pStyle w:val="ListParagraph"/>
        <w:numPr>
          <w:ilvl w:val="0"/>
          <w:numId w:val="3"/>
        </w:numPr>
        <w:spacing w:after="100"/>
      </w:pPr>
      <w:r>
        <w:rPr>
          <w:color w:val="1F2937"/>
          <w:sz w:val="22"/>
          <w:szCs w:val="22"/>
        </w:rPr>
        <w:t xml:space="preserve">Slidedeck deel 15 (beide dagdelen)</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AP: huidig infrastructuurbeeld met omgevingen en hun verschillen</w:t>
      </w:r>
    </w:p>
    <w:p>
      <w:pPr>
        <w:pStyle w:val="ListParagraph"/>
        <w:numPr>
          <w:ilvl w:val="0"/>
          <w:numId w:val="3"/>
        </w:numPr>
        <w:spacing w:after="100"/>
      </w:pPr>
      <w:r>
        <w:rPr>
          <w:color w:val="1F2937"/>
          <w:sz w:val="22"/>
          <w:szCs w:val="22"/>
        </w:rPr>
        <w:t xml:space="preserve">Bijlage AQ: het uitbestedingskader van Meridiaan</w:t>
      </w:r>
    </w:p>
    <w:p>
      <w:pPr>
        <w:pStyle w:val="ListParagraph"/>
        <w:numPr>
          <w:ilvl w:val="0"/>
          <w:numId w:val="3"/>
        </w:numPr>
        <w:spacing w:after="100"/>
      </w:pPr>
      <w:r>
        <w:rPr>
          <w:color w:val="1F2937"/>
          <w:sz w:val="22"/>
          <w:szCs w:val="22"/>
        </w:rPr>
        <w:t xml:space="preserve">Bijlage AR: het storingsverslag van de zes uur stilte — het belangrijkste materiaal van dagdeel B</w:t>
      </w:r>
    </w:p>
    <w:p>
      <w:pPr>
        <w:pStyle w:val="ListParagraph"/>
        <w:numPr>
          <w:ilvl w:val="0"/>
          <w:numId w:val="3"/>
        </w:numPr>
        <w:spacing w:after="100"/>
      </w:pPr>
      <w:r>
        <w:rPr>
          <w:color w:val="1F2937"/>
          <w:sz w:val="22"/>
          <w:szCs w:val="22"/>
        </w:rPr>
        <w:t xml:space="preserve">Bijlage AS: de huidige uitrolstraat met doorlooptijd per stap en drie onbetrouwbare toetsen</w:t>
      </w:r>
    </w:p>
    <w:p>
      <w:pPr>
        <w:pStyle w:val="ListParagraph"/>
        <w:numPr>
          <w:ilvl w:val="0"/>
          <w:numId w:val="3"/>
        </w:numPr>
        <w:spacing w:after="100"/>
      </w:pPr>
      <w:r>
        <w:rPr>
          <w:color w:val="1F2937"/>
          <w:sz w:val="22"/>
          <w:szCs w:val="22"/>
        </w:rPr>
        <w:t xml:space="preserve">Bijlage AT: maandoverzicht infrastructuurkosten per post</w:t>
      </w:r>
    </w:p>
    <w:p>
      <w:pPr>
        <w:pStyle w:val="ListParagraph"/>
        <w:numPr>
          <w:ilvl w:val="0"/>
          <w:numId w:val="3"/>
        </w:numPr>
        <w:spacing w:after="100"/>
      </w:pPr>
      <w:r>
        <w:rPr>
          <w:color w:val="1F2937"/>
          <w:sz w:val="22"/>
          <w:szCs w:val="22"/>
        </w:rPr>
        <w:t xml:space="preserve">De cross-cutting concepten uit deel 8 van niveau 1 en het meetplan uit deel 6</w:t>
      </w:r>
    </w:p>
    <w:p>
      <w:pPr>
        <w:pStyle w:val="Heading1"/>
        <w:pBdr>
          <w:bottom w:val="single" w:color="E5E7EB" w:sz="6" w:space="6"/>
        </w:pBdr>
        <w:spacing w:after="180" w:before="380"/>
      </w:pPr>
      <w:r>
        <w:rPr>
          <w:b/>
          <w:bCs/>
          <w:color w:val="1F3A5F"/>
          <w:sz w:val="30"/>
          <w:szCs w:val="30"/>
        </w:rPr>
        <w:t xml:space="preserve">8. Aansluiting op het volgende deel</w:t>
      </w:r>
    </w:p>
    <w:p>
      <w:pPr>
        <w:spacing w:after="160" w:line="276"/>
      </w:pPr>
      <w:r>
        <w:rPr>
          <w:color w:val="1F2937"/>
          <w:sz w:val="22"/>
          <w:szCs w:val="22"/>
        </w:rPr>
        <w:t xml:space="preserve">Deel 16 behandelt securityarchitectuur. De brug: we hebben nu een systeem dat op meerdere plaatsen draait, uitgerold wordt via een geautomatiseerde straat, en waarvan we weten wat het doet. Elk van die drie heeft een keerzijde: meer plaatsen betekent meer toegangspunten, een geautomatiseerde straat betekent dat wie de straat beheerst het systeem beheerst, en waarneembaarheidsgegevens bevatten precies wat een aanvaller wil weten. Volgende keer: security als ontwerpvraag, en de functiescheidingsregel die sinds deel 2 van niveau 1 op afhandeling wacht.</w:t>
      </w:r>
    </w:p>
    <w:p>
      <w:pPr>
        <w:pBdr>
          <w:top w:val="single" w:color="E5E7EB" w:sz="4" w:space="8"/>
        </w:pBdr>
        <w:spacing w:before="400"/>
        <w:jc w:val="center"/>
      </w:pPr>
      <w:r>
        <w:rPr>
          <w:i/>
          <w:iCs/>
          <w:color w:val="6B7280"/>
          <w:sz w:val="17"/>
          <w:szCs w:val="17"/>
        </w:rPr>
        <w:t xml:space="preserve">Ductus B.V. · Cursus Softwarearchitectuur · Niveau 2, deel 15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2026-08-17T14:07:59.634Z</dcterms:created>
  <dcterms:modified xsi:type="dcterms:W3CDTF">2026-08-17T14:07:59.636Z</dcterms:modified>
</cp:coreProperties>
</file>

<file path=docProps/custom.xml><?xml version="1.0" encoding="utf-8"?>
<Properties xmlns="http://schemas.openxmlformats.org/officeDocument/2006/custom-properties" xmlns:vt="http://schemas.openxmlformats.org/officeDocument/2006/docPropsVTypes"/>
</file>