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15 — Cloud-, infrastructuur- en uitrolarchitectuur</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15 van 28 · twee dagdelen</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AP: het huidige infrastructuurbeeld van Meridiaan — omgevingen, hoe zij tot stand komen, en de verschillen ertussen</w:t>
      </w:r>
    </w:p>
    <w:p>
      <w:pPr>
        <w:pStyle w:val="ListParagraph"/>
        <w:numPr>
          <w:ilvl w:val="0"/>
          <w:numId w:val="2"/>
        </w:numPr>
        <w:spacing w:after="100"/>
      </w:pPr>
      <w:r>
        <w:rPr>
          <w:color w:val="1F2937"/>
          <w:sz w:val="22"/>
          <w:szCs w:val="22"/>
        </w:rPr>
        <w:t xml:space="preserve">Bijlage AQ: het uitbestedingskader van Meridiaan, met de eisen die gelden bij uitbesteding van kritieke processen</w:t>
      </w:r>
    </w:p>
    <w:p>
      <w:pPr>
        <w:pStyle w:val="ListParagraph"/>
        <w:numPr>
          <w:ilvl w:val="0"/>
          <w:numId w:val="2"/>
        </w:numPr>
        <w:spacing w:after="100"/>
      </w:pPr>
      <w:r>
        <w:rPr>
          <w:color w:val="1F2937"/>
          <w:sz w:val="22"/>
          <w:szCs w:val="22"/>
        </w:rPr>
        <w:t xml:space="preserve">Bijlage AR: een storingsverslag uit de acceptatieomgeving na de splitsing — de doorgifte stond zes uur stil zonder melding</w:t>
      </w:r>
    </w:p>
    <w:p>
      <w:pPr>
        <w:pStyle w:val="ListParagraph"/>
        <w:numPr>
          <w:ilvl w:val="0"/>
          <w:numId w:val="2"/>
        </w:numPr>
        <w:spacing w:after="100"/>
      </w:pPr>
      <w:r>
        <w:rPr>
          <w:color w:val="1F2937"/>
          <w:sz w:val="22"/>
          <w:szCs w:val="22"/>
        </w:rPr>
        <w:t xml:space="preserve">Bijlage AS: de huidige uitrolstraat, met de acht stappen en de gemiddelde doorlooptijd per stap</w:t>
      </w:r>
    </w:p>
    <w:p>
      <w:pPr>
        <w:pStyle w:val="ListParagraph"/>
        <w:numPr>
          <w:ilvl w:val="0"/>
          <w:numId w:val="2"/>
        </w:numPr>
        <w:spacing w:after="100"/>
      </w:pPr>
      <w:r>
        <w:rPr>
          <w:color w:val="1F2937"/>
          <w:sz w:val="22"/>
          <w:szCs w:val="22"/>
        </w:rPr>
        <w:t xml:space="preserve">Bijlage AT: een maandoverzicht van infrastructuurkosten, uitgesplitst naar post</w:t>
      </w:r>
    </w:p>
    <w:p>
      <w:pPr>
        <w:pStyle w:val="ListParagraph"/>
        <w:numPr>
          <w:ilvl w:val="0"/>
          <w:numId w:val="2"/>
        </w:numPr>
        <w:spacing w:after="100"/>
      </w:pPr>
      <w:r>
        <w:rPr>
          <w:color w:val="1F2937"/>
          <w:sz w:val="22"/>
          <w:szCs w:val="22"/>
        </w:rPr>
        <w:t xml:space="preserve">Uw drijverscenario's, meetplan en cross-cutting concepten uit niveau 1</w:t>
      </w:r>
    </w:p>
    <w:p>
      <w:pPr>
        <w:pStyle w:val="Heading1"/>
        <w:pBdr>
          <w:bottom w:val="single" w:color="E5E7EB" w:sz="6" w:space="6"/>
        </w:pBdr>
        <w:spacing w:after="180" w:before="380"/>
      </w:pPr>
      <w:r>
        <w:rPr>
          <w:b/>
          <w:bCs/>
          <w:color w:val="1F3A5F"/>
          <w:sz w:val="30"/>
          <w:szCs w:val="30"/>
        </w:rPr>
        <w:t xml:space="preserve">Dagdeel A</w:t>
      </w:r>
    </w:p>
    <w:p>
      <w:pPr>
        <w:pStyle w:val="Heading1"/>
        <w:pBdr>
          <w:bottom w:val="single" w:color="E5E7EB" w:sz="6" w:space="6"/>
        </w:pBdr>
        <w:spacing w:after="180" w:before="380"/>
      </w:pPr>
      <w:r>
        <w:rPr>
          <w:b/>
          <w:bCs/>
          <w:color w:val="1F3A5F"/>
          <w:sz w:val="30"/>
          <w:szCs w:val="30"/>
        </w:rPr>
        <w:t xml:space="preserve">Opdracht 15.1 — Welke aannames vervallen? (individueel, 25 minuten)</w:t>
      </w:r>
    </w:p>
    <w:p>
      <w:pPr>
        <w:spacing w:after="160" w:line="276"/>
      </w:pPr>
      <w:r>
        <w:rPr>
          <w:color w:val="1F2937"/>
          <w:sz w:val="22"/>
          <w:szCs w:val="22"/>
        </w:rPr>
        <w:t xml:space="preserve">Loop uw ontwerp voor Mutatie 2.0 na op aannames die vervallen zodra de uitvoeringsomgeving vervangbaar en kortlevend wordt.</w:t>
      </w:r>
    </w:p>
    <w:p>
      <w:pPr>
        <w:pStyle w:val="ListParagraph"/>
        <w:numPr>
          <w:ilvl w:val="0"/>
          <w:numId w:val="2"/>
        </w:numPr>
        <w:spacing w:after="100"/>
      </w:pPr>
      <w:r>
        <w:rPr>
          <w:b/>
          <w:bCs/>
          <w:color w:val="1F2937"/>
          <w:sz w:val="22"/>
          <w:szCs w:val="22"/>
        </w:rPr>
        <w:t xml:space="preserve">a)</w:t>
      </w:r>
      <w:r>
        <w:rPr>
          <w:color w:val="1F2937"/>
          <w:sz w:val="22"/>
          <w:szCs w:val="22"/>
        </w:rPr>
        <w:t xml:space="preserve"> Zoek minstens vijf plaatsen waar uw ontwerp aanneemt dat een machine blijft bestaan, dat een verzoek bij dezelfde instantie terechtkomt, of dat opstarten mag duren.</w:t>
      </w:r>
    </w:p>
    <w:p>
      <w:pPr>
        <w:pStyle w:val="ListParagraph"/>
        <w:numPr>
          <w:ilvl w:val="0"/>
          <w:numId w:val="2"/>
        </w:numPr>
        <w:spacing w:after="100"/>
      </w:pPr>
      <w:r>
        <w:rPr>
          <w:b/>
          <w:bCs/>
          <w:color w:val="1F2937"/>
          <w:sz w:val="22"/>
          <w:szCs w:val="22"/>
        </w:rPr>
        <w:t xml:space="preserve">b)</w:t>
      </w:r>
      <w:r>
        <w:rPr>
          <w:color w:val="1F2937"/>
          <w:sz w:val="22"/>
          <w:szCs w:val="22"/>
        </w:rPr>
        <w:t xml:space="preserve"> Bepaal per plaats wat u moet wijzigen.</w:t>
      </w:r>
    </w:p>
    <w:p>
      <w:pPr>
        <w:pStyle w:val="ListParagraph"/>
        <w:numPr>
          <w:ilvl w:val="0"/>
          <w:numId w:val="2"/>
        </w:numPr>
        <w:spacing w:after="100"/>
      </w:pPr>
      <w:r>
        <w:rPr>
          <w:b/>
          <w:bCs/>
          <w:color w:val="1F2937"/>
          <w:sz w:val="22"/>
          <w:szCs w:val="22"/>
        </w:rPr>
        <w:t xml:space="preserve">c)</w:t>
      </w:r>
      <w:r>
        <w:rPr>
          <w:color w:val="1F2937"/>
          <w:sz w:val="22"/>
          <w:szCs w:val="22"/>
        </w:rPr>
        <w:t xml:space="preserve"> Twee gevallen verdienen bijzondere aandacht: de geüploade bijlagen bij een mutatie, en de projectieopbouw uit deel 14. Werk beide uit.</w:t>
      </w:r>
    </w:p>
    <w:p>
      <w:pPr>
        <w:pStyle w:val="ListParagraph"/>
        <w:numPr>
          <w:ilvl w:val="0"/>
          <w:numId w:val="2"/>
        </w:numPr>
        <w:spacing w:after="100"/>
      </w:pPr>
      <w:r>
        <w:rPr>
          <w:b/>
          <w:bCs/>
          <w:color w:val="1F2937"/>
          <w:sz w:val="22"/>
          <w:szCs w:val="22"/>
        </w:rPr>
        <w:t xml:space="preserve">d)</w:t>
      </w:r>
      <w:r>
        <w:rPr>
          <w:color w:val="1F2937"/>
          <w:sz w:val="22"/>
          <w:szCs w:val="22"/>
        </w:rPr>
        <w:t xml:space="preserve"> Beantwoord: welke van uw wijzigingen zou u óók moeten doen zonder cloud, zodra u meer dan één instantie draait?</w:t>
      </w:r>
    </w:p>
    <w:p>
      <w:pPr>
        <w:spacing w:after="160" w:line="276"/>
      </w:pPr>
      <w:r>
        <w:rPr>
          <w:color w:val="1F2937"/>
          <w:sz w:val="22"/>
          <w:szCs w:val="22"/>
        </w:rPr>
        <w:t xml:space="preserve">Onderdeel d) is het punt: de meeste van deze wijzigingen zijn geen cloudvraagstuk maar een gevolg van meervoudige instanties.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15.1</w:t>
            </w:r>
          </w:p>
          <w:p>
            <w:pPr>
              <w:spacing w:after="80"/>
            </w:pPr>
          </w:p>
          <w:p>
            <w:pPr>
              <w:spacing w:after="120" w:line="276"/>
            </w:pPr>
            <w:r>
              <w:rPr>
                <w:b/>
                <w:bCs/>
                <w:color w:val="1F2937"/>
                <w:sz w:val="21"/>
                <w:szCs w:val="21"/>
              </w:rPr>
              <w:t xml:space="preserve">a/b) De vijf plaatsen die vrijwel elke groep vindt:</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200"/>
              <w:gridCol w:w="4938"/>
            </w:tblGrid>
            <w:tr>
              <w:trPr>
                <w:tblHeader/>
              </w:trPr>
              <w:tc>
                <w:tcPr>
                  <w:tcW w:type="dxa" w:w="4200"/>
                  <w:shd w:fill="1F3A5F" w:val="clear"/>
                  <w:tcMar>
                    <w:top w:type="dxa" w:w="100"/>
                    <w:left w:type="dxa" w:w="120"/>
                    <w:bottom w:type="dxa" w:w="100"/>
                    <w:right w:type="dxa" w:w="120"/>
                  </w:tcMar>
                  <w:vAlign w:val="center"/>
                </w:tcPr>
                <w:p>
                  <w:r>
                    <w:rPr>
                      <w:b/>
                      <w:bCs/>
                      <w:color w:val="FFFFFF"/>
                      <w:sz w:val="19"/>
                      <w:szCs w:val="19"/>
                    </w:rPr>
                    <w:t xml:space="preserve">Aanname</w:t>
                  </w:r>
                </w:p>
              </w:tc>
              <w:tc>
                <w:tcPr>
                  <w:tcW w:type="dxa" w:w="4938"/>
                  <w:shd w:fill="1F3A5F" w:val="clear"/>
                  <w:tcMar>
                    <w:top w:type="dxa" w:w="100"/>
                    <w:left w:type="dxa" w:w="120"/>
                    <w:bottom w:type="dxa" w:w="100"/>
                    <w:right w:type="dxa" w:w="120"/>
                  </w:tcMar>
                  <w:vAlign w:val="center"/>
                </w:tcPr>
                <w:p>
                  <w:r>
                    <w:rPr>
                      <w:b/>
                      <w:bCs/>
                      <w:color w:val="FFFFFF"/>
                      <w:sz w:val="19"/>
                      <w:szCs w:val="19"/>
                    </w:rPr>
                    <w:t xml:space="preserve">Wijziging</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Geüploade bijlagen op de lokale schijf</w:t>
                  </w:r>
                </w:p>
              </w:tc>
              <w:tc>
                <w:tcPr>
                  <w:tcW w:type="dxa" w:w="4938"/>
                  <w:tcMar>
                    <w:top w:type="dxa" w:w="100"/>
                    <w:left w:type="dxa" w:w="120"/>
                    <w:bottom w:type="dxa" w:w="100"/>
                    <w:right w:type="dxa" w:w="120"/>
                  </w:tcMar>
                  <w:vAlign w:val="center"/>
                </w:tcPr>
                <w:p>
                  <w:r>
                    <w:rPr>
                      <w:b w:val="false"/>
                      <w:bCs w:val="false"/>
                      <w:color w:val="1F2937"/>
                      <w:sz w:val="19"/>
                      <w:szCs w:val="19"/>
                    </w:rPr>
                    <w:t xml:space="preserve">Naar gedeelde opslag; de gebeurtenis verwijst</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Sessietoestand in het geheugen</w:t>
                  </w:r>
                </w:p>
              </w:tc>
              <w:tc>
                <w:tcPr>
                  <w:tcW w:type="dxa" w:w="4938"/>
                  <w:tcMar>
                    <w:top w:type="dxa" w:w="100"/>
                    <w:left w:type="dxa" w:w="120"/>
                    <w:bottom w:type="dxa" w:w="100"/>
                    <w:right w:type="dxa" w:w="120"/>
                  </w:tcMar>
                  <w:vAlign w:val="center"/>
                </w:tcPr>
                <w:p>
                  <w:r>
                    <w:rPr>
                      <w:b w:val="false"/>
                      <w:bCs w:val="false"/>
                      <w:color w:val="1F2937"/>
                      <w:sz w:val="19"/>
                      <w:szCs w:val="19"/>
                    </w:rPr>
                    <w:t xml:space="preserve">Naar gedeelde voorziening, of geen sessietoestand</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Tijdelijke bestanden bij batchverwerking</w:t>
                  </w:r>
                </w:p>
              </w:tc>
              <w:tc>
                <w:tcPr>
                  <w:tcW w:type="dxa" w:w="4938"/>
                  <w:tcMar>
                    <w:top w:type="dxa" w:w="100"/>
                    <w:left w:type="dxa" w:w="120"/>
                    <w:bottom w:type="dxa" w:w="100"/>
                    <w:right w:type="dxa" w:w="120"/>
                  </w:tcMar>
                  <w:vAlign w:val="center"/>
                </w:tcPr>
                <w:p>
                  <w:r>
                    <w:rPr>
                      <w:b w:val="false"/>
                      <w:bCs w:val="false"/>
                      <w:color w:val="1F2937"/>
                      <w:sz w:val="19"/>
                      <w:szCs w:val="19"/>
                    </w:rPr>
                    <w:t xml:space="preserve">Naar gedeelde opslag, of per verwerkingsronde herstartbaar</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Een geplande taak die op één instantie draait</w:t>
                  </w:r>
                </w:p>
              </w:tc>
              <w:tc>
                <w:tcPr>
                  <w:tcW w:type="dxa" w:w="4938"/>
                  <w:tcMar>
                    <w:top w:type="dxa" w:w="100"/>
                    <w:left w:type="dxa" w:w="120"/>
                    <w:bottom w:type="dxa" w:w="100"/>
                    <w:right w:type="dxa" w:w="120"/>
                  </w:tcMar>
                  <w:vAlign w:val="center"/>
                </w:tcPr>
                <w:p>
                  <w:r>
                    <w:rPr>
                      <w:b w:val="false"/>
                      <w:bCs w:val="false"/>
                      <w:color w:val="1F2937"/>
                      <w:sz w:val="19"/>
                      <w:szCs w:val="19"/>
                    </w:rPr>
                    <w:t xml:space="preserve">Coördinatie nodig, anders draait hij twintig keer</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Opstarten met opbouw van een cache in het geheugen</w:t>
                  </w:r>
                </w:p>
              </w:tc>
              <w:tc>
                <w:tcPr>
                  <w:tcW w:type="dxa" w:w="4938"/>
                  <w:tcMar>
                    <w:top w:type="dxa" w:w="100"/>
                    <w:left w:type="dxa" w:w="120"/>
                    <w:bottom w:type="dxa" w:w="100"/>
                    <w:right w:type="dxa" w:w="120"/>
                  </w:tcMar>
                  <w:vAlign w:val="center"/>
                </w:tcPr>
                <w:p>
                  <w:r>
                    <w:rPr>
                      <w:b w:val="false"/>
                      <w:bCs w:val="false"/>
                      <w:color w:val="1F2937"/>
                      <w:sz w:val="19"/>
                      <w:szCs w:val="19"/>
                    </w:rPr>
                    <w:t xml:space="preserve">Opstarttijd wordt een eigenschap; cache extern of lui opbouwen</w:t>
                  </w:r>
                </w:p>
              </w:tc>
            </w:tr>
          </w:tbl>
          <w:p>
            <w:pPr>
              <w:spacing w:after="100"/>
            </w:pPr>
          </w:p>
          <w:p>
            <w:pPr>
              <w:spacing w:after="120" w:line="276"/>
            </w:pPr>
            <w:r>
              <w:rPr>
                <w:b/>
                <w:bCs/>
                <w:color w:val="1F2937"/>
                <w:sz w:val="21"/>
                <w:szCs w:val="21"/>
              </w:rPr>
              <w:t xml:space="preserve">c) De twee bijzondere gevallen:</w:t>
            </w:r>
            <w:r>
              <w:rPr>
                <w:color w:val="1F2937"/>
                <w:sz w:val="21"/>
                <w:szCs w:val="21"/>
              </w:rPr>
              <w:t xml:space="preserve"/>
            </w:r>
          </w:p>
          <w:p>
            <w:pPr>
              <w:spacing w:after="120" w:line="276"/>
            </w:pPr>
            <w:r>
              <w:rPr>
                <w:color w:val="1F2937"/>
                <w:sz w:val="21"/>
                <w:szCs w:val="21"/>
              </w:rPr>
              <w:t xml:space="preserve">Bijlagen — het gevaar zit niet in de opslag maar in de verwijzing. Als de gebeurtenis uit deel 14 een lokaal pad bevat, is die gebeurtenis over zeven jaar waardeloos. De gebeurtenis moet een stabiele, locatie-onafhankelijke verwijzing bevatten.</w:t>
            </w:r>
          </w:p>
          <w:p>
            <w:pPr>
              <w:spacing w:after="120" w:line="276"/>
            </w:pPr>
            <w:r>
              <w:rPr>
                <w:color w:val="1F2937"/>
                <w:sz w:val="21"/>
                <w:szCs w:val="21"/>
              </w:rPr>
              <w:t xml:space="preserve">Projectieopbouw — een projectie die door één instantie wordt bijgewerkt, mag niet stilvallen als die instantie verdwijnt, en mag niet dubbel worden bijgewerkt als er twee draaien. De oplossing is een verwerkingspositie die persistent is en waarop gecoördineerd wordt. Dit is precies waar idempotentie uit deel 13 nodig is — een gebeurtenis kan bij een instantiewissel twee keer verwerkt worden.</w:t>
            </w:r>
          </w:p>
          <w:p>
            <w:pPr>
              <w:spacing w:after="120" w:line="276"/>
            </w:pPr>
            <w:r>
              <w:rPr>
                <w:b/>
                <w:bCs/>
                <w:color w:val="1F2937"/>
                <w:sz w:val="21"/>
                <w:szCs w:val="21"/>
              </w:rPr>
              <w:t xml:space="preserve">d) Vrijwel alle vijf.</w:t>
            </w:r>
            <w:r>
              <w:rPr>
                <w:color w:val="1F2937"/>
                <w:sz w:val="21"/>
                <w:szCs w:val="21"/>
              </w:rPr>
              <w:t xml:space="preserve"> Zij zijn geen gevolg van cloud maar van meervoudige instanties. Dat is de kern van deze opdracht: organisaties schrijven dit soort werk toe aan "de cloudmigratie" terwijl het de prijs is van horizontaal schalen, en die prijs betaalt u ook op eigen infrastructuur.</w:t>
            </w:r>
          </w:p>
        </w:tc>
      </w:tr>
    </w:tbl>
    <w:p>
      <w:pPr>
        <w:spacing w:after="300"/>
      </w:pPr>
    </w:p>
    <w:p>
      <w:pPr>
        <w:pStyle w:val="Heading1"/>
        <w:pBdr>
          <w:bottom w:val="single" w:color="E5E7EB" w:sz="6" w:space="6"/>
        </w:pBdr>
        <w:spacing w:after="180" w:before="380"/>
      </w:pPr>
      <w:r>
        <w:rPr>
          <w:b/>
          <w:bCs/>
          <w:color w:val="1F3A5F"/>
          <w:sz w:val="30"/>
          <w:szCs w:val="30"/>
        </w:rPr>
        <w:t xml:space="preserve">Opdracht 15.2 — De elasticiteitsval (duo's, 20 minuten)</w:t>
      </w:r>
    </w:p>
    <w:p>
      <w:pPr>
        <w:spacing w:after="160" w:line="276"/>
      </w:pPr>
      <w:r>
        <w:rPr>
          <w:color w:val="1F2937"/>
          <w:sz w:val="22"/>
          <w:szCs w:val="22"/>
        </w:rPr>
        <w:t xml:space="preserve">Tijdens de conversie wordt voorgesteld de conversiedienst automatisch te laten schalen tot twintig instanties.</w:t>
      </w:r>
    </w:p>
    <w:p>
      <w:pPr>
        <w:pStyle w:val="ListParagraph"/>
        <w:numPr>
          <w:ilvl w:val="0"/>
          <w:numId w:val="2"/>
        </w:numPr>
        <w:spacing w:after="100"/>
      </w:pPr>
      <w:r>
        <w:rPr>
          <w:b/>
          <w:bCs/>
          <w:color w:val="1F2937"/>
          <w:sz w:val="22"/>
          <w:szCs w:val="22"/>
        </w:rPr>
        <w:t xml:space="preserve">a)</w:t>
      </w:r>
      <w:r>
        <w:rPr>
          <w:color w:val="1F2937"/>
          <w:sz w:val="22"/>
          <w:szCs w:val="22"/>
        </w:rPr>
        <w:t xml:space="preserve"> Reken uit wat dat oplevert, gegeven dat de kernadministratie twintig aanroepen per seconde aankan.</w:t>
      </w:r>
    </w:p>
    <w:p>
      <w:pPr>
        <w:pStyle w:val="ListParagraph"/>
        <w:numPr>
          <w:ilvl w:val="0"/>
          <w:numId w:val="2"/>
        </w:numPr>
        <w:spacing w:after="100"/>
      </w:pPr>
      <w:r>
        <w:rPr>
          <w:b/>
          <w:bCs/>
          <w:color w:val="1F2937"/>
          <w:sz w:val="22"/>
          <w:szCs w:val="22"/>
        </w:rPr>
        <w:t xml:space="preserve">b)</w:t>
      </w:r>
      <w:r>
        <w:rPr>
          <w:color w:val="1F2937"/>
          <w:sz w:val="22"/>
          <w:szCs w:val="22"/>
        </w:rPr>
        <w:t xml:space="preserve"> Wat gebeurt er met de wachtrijen? Wat merkt de kernadministratie? Wat merkt de rest van het platform?</w:t>
      </w:r>
    </w:p>
    <w:p>
      <w:pPr>
        <w:pStyle w:val="ListParagraph"/>
        <w:numPr>
          <w:ilvl w:val="0"/>
          <w:numId w:val="2"/>
        </w:numPr>
        <w:spacing w:after="100"/>
      </w:pPr>
      <w:r>
        <w:rPr>
          <w:b/>
          <w:bCs/>
          <w:color w:val="1F2937"/>
          <w:sz w:val="22"/>
          <w:szCs w:val="22"/>
        </w:rPr>
        <w:t xml:space="preserve">c)</w:t>
      </w:r>
      <w:r>
        <w:rPr>
          <w:color w:val="1F2937"/>
          <w:sz w:val="22"/>
          <w:szCs w:val="22"/>
        </w:rPr>
        <w:t xml:space="preserve"> Welke maatregel maakt schalen hier wél zinvol?</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de regel die u hieruit afleidt, in één zin, geschikt voor uw cross-cutting concepten.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15.2</w:t>
            </w:r>
          </w:p>
          <w:p>
            <w:pPr>
              <w:spacing w:after="80"/>
            </w:pPr>
          </w:p>
          <w:p>
            <w:pPr>
              <w:spacing w:after="120" w:line="276"/>
            </w:pPr>
            <w:r>
              <w:rPr>
                <w:b/>
                <w:bCs/>
                <w:color w:val="1F2937"/>
                <w:sz w:val="21"/>
                <w:szCs w:val="21"/>
              </w:rPr>
              <w:t xml:space="preserve">a) </w:t>
            </w:r>
            <w:r>
              <w:rPr>
                <w:color w:val="1F2937"/>
                <w:sz w:val="21"/>
                <w:szCs w:val="21"/>
              </w:rPr>
              <w:t xml:space="preserve">Niets. De limiet ligt bij twintig aanroepen per seconde; twintig instanties leveren geen enkele extra doorvoer richting de kernadministratie.</w:t>
            </w:r>
          </w:p>
          <w:p>
            <w:pPr>
              <w:spacing w:after="120" w:line="276"/>
            </w:pPr>
            <w:r>
              <w:rPr>
                <w:b/>
                <w:bCs/>
                <w:color w:val="1F2937"/>
                <w:sz w:val="21"/>
                <w:szCs w:val="21"/>
              </w:rPr>
              <w:t xml:space="preserve">b) </w:t>
            </w:r>
            <w:r>
              <w:rPr>
                <w:color w:val="1F2937"/>
                <w:sz w:val="21"/>
                <w:szCs w:val="21"/>
              </w:rPr>
              <w:t xml:space="preserve">De wachtrijen groeien twintig keer zo snel bij de instanties zelf. De kernadministratie ziet twintig keer zoveel gelijktijdige verbindingspogingen en zal die weigeren of vertragen — waarschijnlijk met tijdslimieten en herpogingen tot gevolg, wat de belasting verder verhoogt. De rest van het platform merkt het doordat de kernadministratie ook door het interactieve pad wordt gebruikt: het schalen van de conversiedienst maakt het portaal trager.</w:t>
            </w:r>
          </w:p>
          <w:p>
            <w:pPr>
              <w:spacing w:after="120" w:line="276"/>
            </w:pPr>
            <w:r>
              <w:rPr>
                <w:color w:val="1F2937"/>
                <w:sz w:val="21"/>
                <w:szCs w:val="21"/>
              </w:rPr>
              <w:t xml:space="preserve">Dat laatste is het scherpst: een maatregel bedoeld om de conversie te versnellen, verslechtert QS-1 voor 340.000 deelnemers.</w:t>
            </w:r>
          </w:p>
          <w:p>
            <w:pPr>
              <w:spacing w:after="120" w:line="276"/>
            </w:pPr>
            <w:r>
              <w:rPr>
                <w:b/>
                <w:bCs/>
                <w:color w:val="1F2937"/>
                <w:sz w:val="21"/>
                <w:szCs w:val="21"/>
              </w:rPr>
              <w:t xml:space="preserve">c) </w:t>
            </w:r>
            <w:r>
              <w:rPr>
                <w:color w:val="1F2937"/>
                <w:sz w:val="21"/>
                <w:szCs w:val="21"/>
              </w:rPr>
              <w:t xml:space="preserve">Een doorvoerbegrenzing vóór de kernadministratie, gedeeld over alle instanties, met de conversie op een lagere prioriteit dan het interactieve verkeer. Schalen levert dan winst op de stappen die niet van de kernadministratie afhangen — inlezen, valideren, ontdubbelen — en de doorgifte blijft begrensd.</w:t>
            </w:r>
          </w:p>
          <w:p>
            <w:pPr>
              <w:spacing w:after="120" w:line="276"/>
            </w:pPr>
            <w:r>
              <w:rPr>
                <w:b/>
                <w:bCs/>
                <w:color w:val="1F2937"/>
                <w:sz w:val="21"/>
                <w:szCs w:val="21"/>
              </w:rPr>
              <w:t xml:space="preserve">d) De regel: </w:t>
            </w:r>
            <w:r>
              <w:rPr>
                <w:color w:val="1F2937"/>
                <w:sz w:val="21"/>
                <w:szCs w:val="21"/>
              </w:rPr>
              <w:t xml:space="preserve">schaal nooit voorbij de capaciteit van de traagste afhankelijkheid in het pad; begrens gedeeld en prioriteer.</w:t>
            </w:r>
          </w:p>
        </w:tc>
      </w:tr>
    </w:tbl>
    <w:p>
      <w:pPr>
        <w:spacing w:after="300"/>
      </w:pPr>
    </w:p>
    <w:p>
      <w:pPr>
        <w:pStyle w:val="Heading1"/>
        <w:pBdr>
          <w:bottom w:val="single" w:color="E5E7EB" w:sz="6" w:space="6"/>
        </w:pBdr>
        <w:spacing w:after="180" w:before="380"/>
      </w:pPr>
      <w:r>
        <w:rPr>
          <w:b/>
          <w:bCs/>
          <w:color w:val="1F3A5F"/>
          <w:sz w:val="30"/>
          <w:szCs w:val="30"/>
        </w:rPr>
        <w:t xml:space="preserve">Opdracht 15.3 — Configuratie of bedrijfsgegevens? (individueel, 15 minuten)</w:t>
      </w:r>
    </w:p>
    <w:p>
      <w:pPr>
        <w:spacing w:after="160" w:line="276"/>
      </w:pPr>
      <w:r>
        <w:rPr>
          <w:color w:val="1F2937"/>
          <w:sz w:val="22"/>
          <w:szCs w:val="22"/>
        </w:rPr>
        <w:t xml:space="preserve">Classificeer elk item als technische configuratie, bedrijfsgegevens of geheim, en bepaal waar het thuishoort en wie het beheert.</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86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8638"/>
            <w:shd w:fill="1F3A5F" w:val="clear"/>
            <w:tcMar>
              <w:top w:type="dxa" w:w="100"/>
              <w:left w:type="dxa" w:w="120"/>
              <w:bottom w:type="dxa" w:w="100"/>
              <w:right w:type="dxa" w:w="120"/>
            </w:tcMar>
            <w:vAlign w:val="center"/>
          </w:tcPr>
          <w:p>
            <w:r>
              <w:rPr>
                <w:b/>
                <w:bCs/>
                <w:color w:val="FFFFFF"/>
                <w:sz w:val="19"/>
                <w:szCs w:val="19"/>
              </w:rPr>
              <w:t xml:space="preserve">Item</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8638"/>
            <w:tcMar>
              <w:top w:type="dxa" w:w="100"/>
              <w:left w:type="dxa" w:w="120"/>
              <w:bottom w:type="dxa" w:w="100"/>
              <w:right w:type="dxa" w:w="120"/>
            </w:tcMar>
            <w:vAlign w:val="center"/>
          </w:tcPr>
          <w:p>
            <w:r>
              <w:rPr>
                <w:b w:val="false"/>
                <w:bCs w:val="false"/>
                <w:color w:val="1F2937"/>
                <w:sz w:val="19"/>
                <w:szCs w:val="19"/>
              </w:rPr>
              <w:t xml:space="preserve">Het adres van de kernadministratie-koppelvlak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8638"/>
            <w:tcMar>
              <w:top w:type="dxa" w:w="100"/>
              <w:left w:type="dxa" w:w="120"/>
              <w:bottom w:type="dxa" w:w="100"/>
              <w:right w:type="dxa" w:w="120"/>
            </w:tcMar>
            <w:vAlign w:val="center"/>
          </w:tcPr>
          <w:p>
            <w:r>
              <w:rPr>
                <w:b w:val="false"/>
                <w:bCs w:val="false"/>
                <w:color w:val="1F2937"/>
                <w:sz w:val="19"/>
                <w:szCs w:val="19"/>
              </w:rPr>
              <w:t xml:space="preserve">De reglementparameters per werkgever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8638"/>
            <w:tcMar>
              <w:top w:type="dxa" w:w="100"/>
              <w:left w:type="dxa" w:w="120"/>
              <w:bottom w:type="dxa" w:w="100"/>
              <w:right w:type="dxa" w:w="120"/>
            </w:tcMar>
            <w:vAlign w:val="center"/>
          </w:tcPr>
          <w:p>
            <w:r>
              <w:rPr>
                <w:b w:val="false"/>
                <w:bCs w:val="false"/>
                <w:color w:val="1F2937"/>
                <w:sz w:val="19"/>
                <w:szCs w:val="19"/>
              </w:rPr>
              <w:t xml:space="preserve">Het aantal herpogingen bij een mislukte doorgifte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8638"/>
            <w:tcMar>
              <w:top w:type="dxa" w:w="100"/>
              <w:left w:type="dxa" w:w="120"/>
              <w:bottom w:type="dxa" w:w="100"/>
              <w:right w:type="dxa" w:w="120"/>
            </w:tcMar>
            <w:vAlign w:val="center"/>
          </w:tcPr>
          <w:p>
            <w:r>
              <w:rPr>
                <w:b w:val="false"/>
                <w:bCs w:val="false"/>
                <w:color w:val="1F2937"/>
                <w:sz w:val="19"/>
                <w:szCs w:val="19"/>
              </w:rPr>
              <w:t xml:space="preserve">De drempel waarbij beheer wordt gewaarschuwd bij uitgestelde doorgifte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8638"/>
            <w:tcMar>
              <w:top w:type="dxa" w:w="100"/>
              <w:left w:type="dxa" w:w="120"/>
              <w:bottom w:type="dxa" w:w="100"/>
              <w:right w:type="dxa" w:w="120"/>
            </w:tcMar>
            <w:vAlign w:val="center"/>
          </w:tcPr>
          <w:p>
            <w:r>
              <w:rPr>
                <w:b w:val="false"/>
                <w:bCs w:val="false"/>
                <w:color w:val="1F2937"/>
                <w:sz w:val="19"/>
                <w:szCs w:val="19"/>
              </w:rPr>
              <w:t xml:space="preserve">Het certificaat voor de werkgeverskoppeling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8638"/>
            <w:tcMar>
              <w:top w:type="dxa" w:w="100"/>
              <w:left w:type="dxa" w:w="120"/>
              <w:bottom w:type="dxa" w:w="100"/>
              <w:right w:type="dxa" w:w="120"/>
            </w:tcMar>
            <w:vAlign w:val="center"/>
          </w:tcPr>
          <w:p>
            <w:r>
              <w:rPr>
                <w:b w:val="false"/>
                <w:bCs w:val="false"/>
                <w:color w:val="1F2937"/>
                <w:sz w:val="19"/>
                <w:szCs w:val="19"/>
              </w:rPr>
              <w:t xml:space="preserve">De lijst met mutatiesoorten die vierogen vereisen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8638"/>
            <w:tcMar>
              <w:top w:type="dxa" w:w="100"/>
              <w:left w:type="dxa" w:w="120"/>
              <w:bottom w:type="dxa" w:w="100"/>
              <w:right w:type="dxa" w:w="120"/>
            </w:tcMar>
            <w:vAlign w:val="center"/>
          </w:tcPr>
          <w:p>
            <w:r>
              <w:rPr>
                <w:b w:val="false"/>
                <w:bCs w:val="false"/>
                <w:color w:val="1F2937"/>
                <w:sz w:val="19"/>
                <w:szCs w:val="19"/>
              </w:rPr>
              <w:t xml:space="preserve">De geldigheidsduur van het leesmodel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8638"/>
            <w:tcMar>
              <w:top w:type="dxa" w:w="100"/>
              <w:left w:type="dxa" w:w="120"/>
              <w:bottom w:type="dxa" w:w="100"/>
              <w:right w:type="dxa" w:w="120"/>
            </w:tcMar>
            <w:vAlign w:val="center"/>
          </w:tcPr>
          <w:p>
            <w:r>
              <w:rPr>
                <w:b w:val="false"/>
                <w:bCs w:val="false"/>
                <w:color w:val="1F2937"/>
                <w:sz w:val="19"/>
                <w:szCs w:val="19"/>
              </w:rPr>
              <w:t xml:space="preserve">Het aanleverformaatnummer dat een werkgever gebruikt</w:t>
            </w:r>
          </w:p>
        </w:tc>
      </w:tr>
    </w:tbl>
    <w:p>
      <w:pPr>
        <w:spacing w:after="300"/>
      </w:pPr>
    </w:p>
    <w:p>
      <w:pPr>
        <w:spacing w:after="160" w:line="276"/>
      </w:pPr>
      <w:r>
        <w:rPr>
          <w:color w:val="1F2937"/>
          <w:sz w:val="22"/>
          <w:szCs w:val="22"/>
        </w:rPr>
        <w:t xml:space="preserve">Bij welke items twijfelt u, en welk gegeven doet de twijfel kantelen?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15.3</w:t>
            </w:r>
          </w:p>
          <w:p>
            <w:pPr>
              <w:spacing w:after="80"/>
            </w:pP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600"/>
              <w:gridCol w:w="3700"/>
              <w:gridCol w:w="23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Type</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Waar</w:t>
                  </w:r>
                </w:p>
              </w:tc>
              <w:tc>
                <w:tcPr>
                  <w:tcW w:type="dxa" w:w="2338"/>
                  <w:shd w:fill="1F3A5F" w:val="clear"/>
                  <w:tcMar>
                    <w:top w:type="dxa" w:w="100"/>
                    <w:left w:type="dxa" w:w="120"/>
                    <w:bottom w:type="dxa" w:w="100"/>
                    <w:right w:type="dxa" w:w="120"/>
                  </w:tcMar>
                  <w:vAlign w:val="center"/>
                </w:tcPr>
                <w:p>
                  <w:r>
                    <w:rPr>
                      <w:b/>
                      <w:bCs/>
                      <w:color w:val="FFFFFF"/>
                      <w:sz w:val="19"/>
                      <w:szCs w:val="19"/>
                    </w:rPr>
                    <w:t xml:space="preserve">Beheerder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600"/>
                  <w:tcMar>
                    <w:top w:type="dxa" w:w="100"/>
                    <w:left w:type="dxa" w:w="120"/>
                    <w:bottom w:type="dxa" w:w="100"/>
                    <w:right w:type="dxa" w:w="120"/>
                  </w:tcMar>
                  <w:vAlign w:val="center"/>
                </w:tcPr>
                <w:p>
                  <w:r>
                    <w:rPr>
                      <w:b w:val="false"/>
                      <w:bCs w:val="false"/>
                      <w:color w:val="1F2937"/>
                      <w:sz w:val="19"/>
                      <w:szCs w:val="19"/>
                    </w:rPr>
                    <w:t xml:space="preserve">Technische configuratie</w:t>
                  </w:r>
                </w:p>
              </w:tc>
              <w:tc>
                <w:tcPr>
                  <w:tcW w:type="dxa" w:w="3700"/>
                  <w:tcMar>
                    <w:top w:type="dxa" w:w="100"/>
                    <w:left w:type="dxa" w:w="120"/>
                    <w:bottom w:type="dxa" w:w="100"/>
                    <w:right w:type="dxa" w:w="120"/>
                  </w:tcMar>
                  <w:vAlign w:val="center"/>
                </w:tcPr>
                <w:p>
                  <w:r>
                    <w:rPr>
                      <w:b w:val="false"/>
                      <w:bCs w:val="false"/>
                      <w:color w:val="1F2937"/>
                      <w:sz w:val="19"/>
                      <w:szCs w:val="19"/>
                    </w:rPr>
                    <w:t xml:space="preserve">Per omgeving</w:t>
                  </w:r>
                </w:p>
              </w:tc>
              <w:tc>
                <w:tcPr>
                  <w:tcW w:type="dxa" w:w="2338"/>
                  <w:tcMar>
                    <w:top w:type="dxa" w:w="100"/>
                    <w:left w:type="dxa" w:w="120"/>
                    <w:bottom w:type="dxa" w:w="100"/>
                    <w:right w:type="dxa" w:w="120"/>
                  </w:tcMar>
                  <w:vAlign w:val="center"/>
                </w:tcPr>
                <w:p>
                  <w:r>
                    <w:rPr>
                      <w:b w:val="false"/>
                      <w:bCs w:val="false"/>
                      <w:color w:val="1F2937"/>
                      <w:sz w:val="19"/>
                      <w:szCs w:val="19"/>
                    </w:rPr>
                    <w:t xml:space="preserve">Beheer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600"/>
                  <w:tcMar>
                    <w:top w:type="dxa" w:w="100"/>
                    <w:left w:type="dxa" w:w="120"/>
                    <w:bottom w:type="dxa" w:w="100"/>
                    <w:right w:type="dxa" w:w="120"/>
                  </w:tcMar>
                  <w:vAlign w:val="center"/>
                </w:tcPr>
                <w:p>
                  <w:r>
                    <w:rPr>
                      <w:b w:val="false"/>
                      <w:bCs w:val="false"/>
                      <w:color w:val="1F2937"/>
                      <w:sz w:val="19"/>
                      <w:szCs w:val="19"/>
                    </w:rPr>
                    <w:t xml:space="preserve">Bedrijfsgegevens</w:t>
                  </w:r>
                </w:p>
              </w:tc>
              <w:tc>
                <w:tcPr>
                  <w:tcW w:type="dxa" w:w="3700"/>
                  <w:tcMar>
                    <w:top w:type="dxa" w:w="100"/>
                    <w:left w:type="dxa" w:w="120"/>
                    <w:bottom w:type="dxa" w:w="100"/>
                    <w:right w:type="dxa" w:w="120"/>
                  </w:tcMar>
                  <w:vAlign w:val="center"/>
                </w:tcPr>
                <w:p>
                  <w:r>
                    <w:rPr>
                      <w:b w:val="false"/>
                      <w:bCs w:val="false"/>
                      <w:color w:val="1F2937"/>
                      <w:sz w:val="19"/>
                      <w:szCs w:val="19"/>
                    </w:rPr>
                    <w:t xml:space="preserve">In het systeem, met versiehistorie</w:t>
                  </w:r>
                </w:p>
              </w:tc>
              <w:tc>
                <w:tcPr>
                  <w:tcW w:type="dxa" w:w="2338"/>
                  <w:tcMar>
                    <w:top w:type="dxa" w:w="100"/>
                    <w:left w:type="dxa" w:w="120"/>
                    <w:bottom w:type="dxa" w:w="100"/>
                    <w:right w:type="dxa" w:w="120"/>
                  </w:tcMar>
                  <w:vAlign w:val="center"/>
                </w:tcPr>
                <w:p>
                  <w:r>
                    <w:rPr>
                      <w:b w:val="false"/>
                      <w:bCs w:val="false"/>
                      <w:color w:val="1F2937"/>
                      <w:sz w:val="19"/>
                      <w:szCs w:val="19"/>
                    </w:rPr>
                    <w:t xml:space="preserve">Administratie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600"/>
                  <w:tcMar>
                    <w:top w:type="dxa" w:w="100"/>
                    <w:left w:type="dxa" w:w="120"/>
                    <w:bottom w:type="dxa" w:w="100"/>
                    <w:right w:type="dxa" w:w="120"/>
                  </w:tcMar>
                  <w:vAlign w:val="center"/>
                </w:tcPr>
                <w:p>
                  <w:r>
                    <w:rPr>
                      <w:b w:val="false"/>
                      <w:bCs w:val="false"/>
                      <w:color w:val="1F2937"/>
                      <w:sz w:val="19"/>
                      <w:szCs w:val="19"/>
                    </w:rPr>
                    <w:t xml:space="preserve">Technische configuratie</w:t>
                  </w:r>
                </w:p>
              </w:tc>
              <w:tc>
                <w:tcPr>
                  <w:tcW w:type="dxa" w:w="3700"/>
                  <w:tcMar>
                    <w:top w:type="dxa" w:w="100"/>
                    <w:left w:type="dxa" w:w="120"/>
                    <w:bottom w:type="dxa" w:w="100"/>
                    <w:right w:type="dxa" w:w="120"/>
                  </w:tcMar>
                  <w:vAlign w:val="center"/>
                </w:tcPr>
                <w:p>
                  <w:r>
                    <w:rPr>
                      <w:b w:val="false"/>
                      <w:bCs w:val="false"/>
                      <w:color w:val="1F2937"/>
                      <w:sz w:val="19"/>
                      <w:szCs w:val="19"/>
                    </w:rPr>
                    <w:t xml:space="preserve">Per omgeving</w:t>
                  </w:r>
                </w:p>
              </w:tc>
              <w:tc>
                <w:tcPr>
                  <w:tcW w:type="dxa" w:w="2338"/>
                  <w:tcMar>
                    <w:top w:type="dxa" w:w="100"/>
                    <w:left w:type="dxa" w:w="120"/>
                    <w:bottom w:type="dxa" w:w="100"/>
                    <w:right w:type="dxa" w:w="120"/>
                  </w:tcMar>
                  <w:vAlign w:val="center"/>
                </w:tcPr>
                <w:p>
                  <w:r>
                    <w:rPr>
                      <w:b w:val="false"/>
                      <w:bCs w:val="false"/>
                      <w:color w:val="1F2937"/>
                      <w:sz w:val="19"/>
                      <w:szCs w:val="19"/>
                    </w:rPr>
                    <w:t xml:space="preserve">Beheer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600"/>
                  <w:tcMar>
                    <w:top w:type="dxa" w:w="100"/>
                    <w:left w:type="dxa" w:w="120"/>
                    <w:bottom w:type="dxa" w:w="100"/>
                    <w:right w:type="dxa" w:w="120"/>
                  </w:tcMar>
                  <w:vAlign w:val="center"/>
                </w:tcPr>
                <w:p>
                  <w:r>
                    <w:rPr>
                      <w:b w:val="false"/>
                      <w:bCs w:val="false"/>
                      <w:color w:val="1F2937"/>
                      <w:sz w:val="19"/>
                      <w:szCs w:val="19"/>
                    </w:rPr>
                    <w:t xml:space="preserve">Twijfelgeval</w:t>
                  </w:r>
                </w:p>
              </w:tc>
              <w:tc>
                <w:tcPr>
                  <w:tcW w:type="dxa" w:w="3700"/>
                  <w:tcMar>
                    <w:top w:type="dxa" w:w="100"/>
                    <w:left w:type="dxa" w:w="120"/>
                    <w:bottom w:type="dxa" w:w="100"/>
                    <w:right w:type="dxa" w:w="120"/>
                  </w:tcMar>
                  <w:vAlign w:val="center"/>
                </w:tcPr>
                <w:p>
                  <w:r>
                    <w:rPr>
                      <w:b w:val="false"/>
                      <w:bCs w:val="false"/>
                      <w:color w:val="1F2937"/>
                      <w:sz w:val="19"/>
                      <w:szCs w:val="19"/>
                    </w:rPr>
                    <w:t xml:space="preserve">Zie hieronder</w:t>
                  </w:r>
                </w:p>
              </w:tc>
              <w:tc>
                <w:tcPr>
                  <w:tcW w:type="dxa" w:w="23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600"/>
                  <w:tcMar>
                    <w:top w:type="dxa" w:w="100"/>
                    <w:left w:type="dxa" w:w="120"/>
                    <w:bottom w:type="dxa" w:w="100"/>
                    <w:right w:type="dxa" w:w="120"/>
                  </w:tcMar>
                  <w:vAlign w:val="center"/>
                </w:tcPr>
                <w:p>
                  <w:r>
                    <w:rPr>
                      <w:b w:val="false"/>
                      <w:bCs w:val="false"/>
                      <w:color w:val="1F2937"/>
                      <w:sz w:val="19"/>
                      <w:szCs w:val="19"/>
                    </w:rPr>
                    <w:t xml:space="preserve">Geheim</w:t>
                  </w:r>
                </w:p>
              </w:tc>
              <w:tc>
                <w:tcPr>
                  <w:tcW w:type="dxa" w:w="3700"/>
                  <w:tcMar>
                    <w:top w:type="dxa" w:w="100"/>
                    <w:left w:type="dxa" w:w="120"/>
                    <w:bottom w:type="dxa" w:w="100"/>
                    <w:right w:type="dxa" w:w="120"/>
                  </w:tcMar>
                  <w:vAlign w:val="center"/>
                </w:tcPr>
                <w:p>
                  <w:r>
                    <w:rPr>
                      <w:b w:val="false"/>
                      <w:bCs w:val="false"/>
                      <w:color w:val="1F2937"/>
                      <w:sz w:val="19"/>
                      <w:szCs w:val="19"/>
                    </w:rPr>
                    <w:t xml:space="preserve">Geheimenvoorziening, roteerbaar</w:t>
                  </w:r>
                </w:p>
              </w:tc>
              <w:tc>
                <w:tcPr>
                  <w:tcW w:type="dxa" w:w="2338"/>
                  <w:tcMar>
                    <w:top w:type="dxa" w:w="100"/>
                    <w:left w:type="dxa" w:w="120"/>
                    <w:bottom w:type="dxa" w:w="100"/>
                    <w:right w:type="dxa" w:w="120"/>
                  </w:tcMar>
                  <w:vAlign w:val="center"/>
                </w:tcPr>
                <w:p>
                  <w:r>
                    <w:rPr>
                      <w:b w:val="false"/>
                      <w:bCs w:val="false"/>
                      <w:color w:val="1F2937"/>
                      <w:sz w:val="19"/>
                      <w:szCs w:val="19"/>
                    </w:rPr>
                    <w:t xml:space="preserve">Beheer/security</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600"/>
                  <w:tcMar>
                    <w:top w:type="dxa" w:w="100"/>
                    <w:left w:type="dxa" w:w="120"/>
                    <w:bottom w:type="dxa" w:w="100"/>
                    <w:right w:type="dxa" w:w="120"/>
                  </w:tcMar>
                  <w:vAlign w:val="center"/>
                </w:tcPr>
                <w:p>
                  <w:r>
                    <w:rPr>
                      <w:b w:val="false"/>
                      <w:bCs w:val="false"/>
                      <w:color w:val="1F2937"/>
                      <w:sz w:val="19"/>
                      <w:szCs w:val="19"/>
                    </w:rPr>
                    <w:t xml:space="preserve">Bedrijfsgegevens</w:t>
                  </w:r>
                </w:p>
              </w:tc>
              <w:tc>
                <w:tcPr>
                  <w:tcW w:type="dxa" w:w="3700"/>
                  <w:tcMar>
                    <w:top w:type="dxa" w:w="100"/>
                    <w:left w:type="dxa" w:w="120"/>
                    <w:bottom w:type="dxa" w:w="100"/>
                    <w:right w:type="dxa" w:w="120"/>
                  </w:tcMar>
                  <w:vAlign w:val="center"/>
                </w:tcPr>
                <w:p>
                  <w:r>
                    <w:rPr>
                      <w:b w:val="false"/>
                      <w:bCs w:val="false"/>
                      <w:color w:val="1F2937"/>
                      <w:sz w:val="19"/>
                      <w:szCs w:val="19"/>
                    </w:rPr>
                    <w:t xml:space="preserve">In het systeem, met versiehistorie</w:t>
                  </w:r>
                </w:p>
              </w:tc>
              <w:tc>
                <w:tcPr>
                  <w:tcW w:type="dxa" w:w="2338"/>
                  <w:tcMar>
                    <w:top w:type="dxa" w:w="100"/>
                    <w:left w:type="dxa" w:w="120"/>
                    <w:bottom w:type="dxa" w:w="100"/>
                    <w:right w:type="dxa" w:w="120"/>
                  </w:tcMar>
                  <w:vAlign w:val="center"/>
                </w:tcPr>
                <w:p>
                  <w:r>
                    <w:rPr>
                      <w:b w:val="false"/>
                      <w:bCs w:val="false"/>
                      <w:color w:val="1F2937"/>
                      <w:sz w:val="19"/>
                      <w:szCs w:val="19"/>
                    </w:rPr>
                    <w:t xml:space="preserve">Compliance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600"/>
                  <w:tcMar>
                    <w:top w:type="dxa" w:w="100"/>
                    <w:left w:type="dxa" w:w="120"/>
                    <w:bottom w:type="dxa" w:w="100"/>
                    <w:right w:type="dxa" w:w="120"/>
                  </w:tcMar>
                  <w:vAlign w:val="center"/>
                </w:tcPr>
                <w:p>
                  <w:r>
                    <w:rPr>
                      <w:b w:val="false"/>
                      <w:bCs w:val="false"/>
                      <w:color w:val="1F2937"/>
                      <w:sz w:val="19"/>
                      <w:szCs w:val="19"/>
                    </w:rPr>
                    <w:t xml:space="preserve">Technische configuratie</w:t>
                  </w:r>
                </w:p>
              </w:tc>
              <w:tc>
                <w:tcPr>
                  <w:tcW w:type="dxa" w:w="3700"/>
                  <w:tcMar>
                    <w:top w:type="dxa" w:w="100"/>
                    <w:left w:type="dxa" w:w="120"/>
                    <w:bottom w:type="dxa" w:w="100"/>
                    <w:right w:type="dxa" w:w="120"/>
                  </w:tcMar>
                  <w:vAlign w:val="center"/>
                </w:tcPr>
                <w:p>
                  <w:r>
                    <w:rPr>
                      <w:b w:val="false"/>
                      <w:bCs w:val="false"/>
                      <w:color w:val="1F2937"/>
                      <w:sz w:val="19"/>
                      <w:szCs w:val="19"/>
                    </w:rPr>
                    <w:t xml:space="preserve">Per omgeving</w:t>
                  </w:r>
                </w:p>
              </w:tc>
              <w:tc>
                <w:tcPr>
                  <w:tcW w:type="dxa" w:w="2338"/>
                  <w:tcMar>
                    <w:top w:type="dxa" w:w="100"/>
                    <w:left w:type="dxa" w:w="120"/>
                    <w:bottom w:type="dxa" w:w="100"/>
                    <w:right w:type="dxa" w:w="120"/>
                  </w:tcMar>
                  <w:vAlign w:val="center"/>
                </w:tcPr>
                <w:p>
                  <w:r>
                    <w:rPr>
                      <w:b w:val="false"/>
                      <w:bCs w:val="false"/>
                      <w:color w:val="1F2937"/>
                      <w:sz w:val="19"/>
                      <w:szCs w:val="19"/>
                    </w:rPr>
                    <w:t xml:space="preserve">Beheer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2600"/>
                  <w:tcMar>
                    <w:top w:type="dxa" w:w="100"/>
                    <w:left w:type="dxa" w:w="120"/>
                    <w:bottom w:type="dxa" w:w="100"/>
                    <w:right w:type="dxa" w:w="120"/>
                  </w:tcMar>
                  <w:vAlign w:val="center"/>
                </w:tcPr>
                <w:p>
                  <w:r>
                    <w:rPr>
                      <w:b w:val="false"/>
                      <w:bCs w:val="false"/>
                      <w:color w:val="1F2937"/>
                      <w:sz w:val="19"/>
                      <w:szCs w:val="19"/>
                    </w:rPr>
                    <w:t xml:space="preserve">Bedrijfsgegevens</w:t>
                  </w:r>
                </w:p>
              </w:tc>
              <w:tc>
                <w:tcPr>
                  <w:tcW w:type="dxa" w:w="3700"/>
                  <w:tcMar>
                    <w:top w:type="dxa" w:w="100"/>
                    <w:left w:type="dxa" w:w="120"/>
                    <w:bottom w:type="dxa" w:w="100"/>
                    <w:right w:type="dxa" w:w="120"/>
                  </w:tcMar>
                  <w:vAlign w:val="center"/>
                </w:tcPr>
                <w:p>
                  <w:r>
                    <w:rPr>
                      <w:b w:val="false"/>
                      <w:bCs w:val="false"/>
                      <w:color w:val="1F2937"/>
                      <w:sz w:val="19"/>
                      <w:szCs w:val="19"/>
                    </w:rPr>
                    <w:t xml:space="preserve">Bij de werkgeversrelatie</w:t>
                  </w:r>
                </w:p>
              </w:tc>
              <w:tc>
                <w:tcPr>
                  <w:tcW w:type="dxa" w:w="2338"/>
                  <w:tcMar>
                    <w:top w:type="dxa" w:w="100"/>
                    <w:left w:type="dxa" w:w="120"/>
                    <w:bottom w:type="dxa" w:w="100"/>
                    <w:right w:type="dxa" w:w="120"/>
                  </w:tcMar>
                  <w:vAlign w:val="center"/>
                </w:tcPr>
                <w:p>
                  <w:r>
                    <w:rPr>
                      <w:b w:val="false"/>
                      <w:bCs w:val="false"/>
                      <w:color w:val="1F2937"/>
                      <w:sz w:val="19"/>
                      <w:szCs w:val="19"/>
                    </w:rPr>
                    <w:t xml:space="preserve">Relatiebeheer</w:t>
                  </w:r>
                </w:p>
              </w:tc>
            </w:tr>
          </w:tbl>
          <w:p>
            <w:pPr>
              <w:spacing w:after="100"/>
            </w:pPr>
          </w:p>
          <w:p>
            <w:pPr>
              <w:spacing w:after="120" w:line="276"/>
            </w:pPr>
            <w:r>
              <w:rPr>
                <w:b/>
                <w:bCs/>
                <w:color w:val="1F2937"/>
                <w:sz w:val="21"/>
                <w:szCs w:val="21"/>
              </w:rPr>
              <w:t xml:space="preserve">Item 2 is de belangrijkste </w:t>
            </w:r>
            <w:r>
              <w:rPr>
                <w:color w:val="1F2937"/>
                <w:sz w:val="21"/>
                <w:szCs w:val="21"/>
              </w:rPr>
              <w:t xml:space="preserve">en het is waar de reconstructieproef op strandde. Reglementparameters ogen als configuratie en zijn administratieve gegevens die berekende rechten bepalen: versiehistorie, eigenaar bij de administratie, en een wijzigingsproces.</w:t>
            </w:r>
          </w:p>
          <w:p>
            <w:pPr>
              <w:spacing w:after="120" w:line="276"/>
            </w:pPr>
            <w:r>
              <w:rPr>
                <w:b/>
                <w:bCs/>
                <w:color w:val="1F2937"/>
                <w:sz w:val="21"/>
                <w:szCs w:val="21"/>
              </w:rPr>
              <w:t xml:space="preserve">Item 6 is dezelfde fout in een andere vorm.</w:t>
            </w:r>
            <w:r>
              <w:rPr>
                <w:color w:val="1F2937"/>
                <w:sz w:val="21"/>
                <w:szCs w:val="21"/>
              </w:rPr>
              <w:t xml:space="preserve"> Welke mutatiesoorten vierogen vereisen, is een compliancebesluit, geen instelling.</w:t>
            </w:r>
          </w:p>
          <w:p>
            <w:pPr>
              <w:spacing w:after="120" w:line="276"/>
            </w:pPr>
            <w:r>
              <w:rPr>
                <w:b/>
                <w:bCs/>
                <w:color w:val="1F2937"/>
                <w:sz w:val="21"/>
                <w:szCs w:val="21"/>
              </w:rPr>
              <w:t xml:space="preserve">Item 4 is het twijfelgeval en het kantelt op de vraag wie de drempel bepaalt.</w:t>
            </w:r>
            <w:r>
              <w:rPr>
                <w:color w:val="1F2937"/>
                <w:sz w:val="21"/>
                <w:szCs w:val="21"/>
              </w:rPr>
              <w:t xml:space="preserve"> Is het een technische instelling om ruis te beperken, dan configuratie. Is het de operationele norm waarop beheer wordt aangesproken, dan is het onderdeel van het dienstniveaudoel en hoort het bij de afspraken — met versiehistorie.</w:t>
            </w:r>
          </w:p>
          <w:p>
            <w:pPr>
              <w:spacing w:after="120" w:line="276"/>
            </w:pPr>
            <w:r>
              <w:rPr>
                <w:b/>
                <w:bCs/>
                <w:color w:val="1F2937"/>
                <w:sz w:val="21"/>
                <w:szCs w:val="21"/>
              </w:rPr>
              <w:t xml:space="preserve">Het patroon: </w:t>
            </w:r>
            <w:r>
              <w:rPr>
                <w:color w:val="1F2937"/>
                <w:sz w:val="21"/>
                <w:szCs w:val="21"/>
              </w:rPr>
              <w:t xml:space="preserve">de vraag is niet hoe het gegeven eruitziet maar wie het wijzigt en wat de gevolgen zijn. Alles wat een uitkomst richting deelnemer of toezichthouder beïnvloedt, is bedrijfsgegeven.</w:t>
            </w:r>
          </w:p>
        </w:tc>
      </w:tr>
    </w:tbl>
    <w:p>
      <w:pPr>
        <w:spacing w:after="300"/>
      </w:pPr>
    </w:p>
    <w:p>
      <w:pPr>
        <w:pStyle w:val="Heading1"/>
        <w:pBdr>
          <w:bottom w:val="single" w:color="E5E7EB" w:sz="6" w:space="6"/>
        </w:pBdr>
        <w:spacing w:after="180" w:before="380"/>
      </w:pPr>
      <w:r>
        <w:rPr>
          <w:b/>
          <w:bCs/>
          <w:color w:val="1F3A5F"/>
          <w:sz w:val="30"/>
          <w:szCs w:val="30"/>
        </w:rPr>
        <w:t xml:space="preserve">Opdracht 15.4 — De uitrolstraat ontwerpen (groepen van vier, 45 minuten)</w:t>
      </w:r>
    </w:p>
    <w:p>
      <w:pPr>
        <w:spacing w:after="160" w:line="276"/>
      </w:pPr>
      <w:r>
        <w:rPr>
          <w:color w:val="1F2937"/>
          <w:sz w:val="22"/>
          <w:szCs w:val="22"/>
        </w:rPr>
        <w:t xml:space="preserve">Bijlage AS toont de huidige straat.</w:t>
      </w:r>
    </w:p>
    <w:p>
      <w:pPr>
        <w:pStyle w:val="ListParagraph"/>
        <w:numPr>
          <w:ilvl w:val="0"/>
          <w:numId w:val="2"/>
        </w:numPr>
        <w:spacing w:after="100"/>
      </w:pPr>
      <w:r>
        <w:rPr>
          <w:b/>
          <w:bCs/>
          <w:color w:val="1F2937"/>
          <w:sz w:val="22"/>
          <w:szCs w:val="22"/>
        </w:rPr>
        <w:t xml:space="preserve">a)</w:t>
      </w:r>
      <w:r>
        <w:rPr>
          <w:color w:val="1F2937"/>
          <w:sz w:val="22"/>
          <w:szCs w:val="22"/>
        </w:rPr>
        <w:t xml:space="preserve"> Loop uw ontwerpregels uit niveau 1 en 2 na — modulegrenzen, afhankelijkheidsrichting, klokaanroepen, correlatie, verwijzen met identiteiten, transacties over één module. Welke worden nu getoetst en welke niet?</w:t>
      </w:r>
    </w:p>
    <w:p>
      <w:pPr>
        <w:pStyle w:val="ListParagraph"/>
        <w:numPr>
          <w:ilvl w:val="0"/>
          <w:numId w:val="2"/>
        </w:numPr>
        <w:spacing w:after="100"/>
      </w:pPr>
      <w:r>
        <w:rPr>
          <w:b/>
          <w:bCs/>
          <w:color w:val="1F2937"/>
          <w:sz w:val="22"/>
          <w:szCs w:val="22"/>
        </w:rPr>
        <w:t xml:space="preserve">b)</w:t>
      </w:r>
      <w:r>
        <w:rPr>
          <w:color w:val="1F2937"/>
          <w:sz w:val="22"/>
          <w:szCs w:val="22"/>
        </w:rPr>
        <w:t xml:space="preserve"> Ontwerp de architectuurtoetsen voor de regels die nog niet getoetst worden. Formuleer per toets: wat faalt er precies, en wat ziet de ontwikkelaar?</w:t>
      </w:r>
    </w:p>
    <w:p>
      <w:pPr>
        <w:pStyle w:val="ListParagraph"/>
        <w:numPr>
          <w:ilvl w:val="0"/>
          <w:numId w:val="2"/>
        </w:numPr>
        <w:spacing w:after="100"/>
      </w:pPr>
      <w:r>
        <w:rPr>
          <w:b/>
          <w:bCs/>
          <w:color w:val="1F2937"/>
          <w:sz w:val="22"/>
          <w:szCs w:val="22"/>
        </w:rPr>
        <w:t xml:space="preserve">c)</w:t>
      </w:r>
      <w:r>
        <w:rPr>
          <w:color w:val="1F2937"/>
          <w:sz w:val="22"/>
          <w:szCs w:val="22"/>
        </w:rPr>
        <w:t xml:space="preserve"> Welke scenario's uit uw meetplan (deel 6) horen in de straat, en welke blijven handmatig? Motiveer.</w:t>
      </w:r>
    </w:p>
    <w:p>
      <w:pPr>
        <w:pStyle w:val="ListParagraph"/>
        <w:numPr>
          <w:ilvl w:val="0"/>
          <w:numId w:val="2"/>
        </w:numPr>
        <w:spacing w:after="100"/>
      </w:pPr>
      <w:r>
        <w:rPr>
          <w:b/>
          <w:bCs/>
          <w:color w:val="1F2937"/>
          <w:sz w:val="22"/>
          <w:szCs w:val="22"/>
        </w:rPr>
        <w:t xml:space="preserve">d)</w:t>
      </w:r>
      <w:r>
        <w:rPr>
          <w:color w:val="1F2937"/>
          <w:sz w:val="22"/>
          <w:szCs w:val="22"/>
        </w:rPr>
        <w:t xml:space="preserve"> Bijlage AS toont de doorlooptijd per stap. De hele straat duurt 47 minuten. Waar zit de tijd, en wat zou u eraan doen?</w:t>
      </w:r>
    </w:p>
    <w:p>
      <w:pPr>
        <w:pStyle w:val="ListParagraph"/>
        <w:numPr>
          <w:ilvl w:val="0"/>
          <w:numId w:val="2"/>
        </w:numPr>
        <w:spacing w:after="100"/>
      </w:pPr>
      <w:r>
        <w:rPr>
          <w:b/>
          <w:bCs/>
          <w:color w:val="1F2937"/>
          <w:sz w:val="22"/>
          <w:szCs w:val="22"/>
        </w:rPr>
        <w:t xml:space="preserve">e) De opruimregel.</w:t>
      </w:r>
      <w:r>
        <w:rPr>
          <w:color w:val="1F2937"/>
          <w:sz w:val="22"/>
          <w:szCs w:val="22"/>
        </w:rPr>
        <w:t xml:space="preserve"> Bijlage AS bevat drie toetsen die in de laatste twee maanden vaker faalden dan slaagden zonder dat iemand iets repareerde. Wat doet u ermee?</w:t>
      </w:r>
    </w:p>
    <w:p>
      <w:pPr>
        <w:spacing w:after="160" w:line="276"/>
      </w:pPr>
      <w:r>
        <w:rPr>
          <w:color w:val="1F2937"/>
          <w:sz w:val="22"/>
          <w:szCs w:val="22"/>
        </w:rPr>
        <w:t xml:space="preserve">Presenteer b)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15.4</w:t>
            </w:r>
          </w:p>
          <w:p>
            <w:pPr>
              <w:spacing w:after="80"/>
            </w:pPr>
          </w:p>
          <w:p>
            <w:pPr>
              <w:spacing w:after="120" w:line="276"/>
            </w:pPr>
            <w:r>
              <w:rPr>
                <w:b/>
                <w:bCs/>
                <w:color w:val="1F2937"/>
                <w:sz w:val="21"/>
                <w:szCs w:val="21"/>
              </w:rPr>
              <w:t xml:space="preserve">a) </w:t>
            </w:r>
            <w:r>
              <w:rPr>
                <w:color w:val="1F2937"/>
                <w:sz w:val="21"/>
                <w:szCs w:val="21"/>
              </w:rPr>
              <w:t xml:space="preserve">Doorgaans blijken twee tot drie van de zes regels getoetst — meestal de eenvoudig te automatiseren (afhankelijkheidsrichting) — en de rest niet.</w:t>
            </w:r>
          </w:p>
          <w:p>
            <w:pPr>
              <w:spacing w:after="120" w:line="276"/>
            </w:pPr>
            <w:r>
              <w:rPr>
                <w:b/>
                <w:bCs/>
                <w:color w:val="1F2937"/>
                <w:sz w:val="21"/>
                <w:szCs w:val="21"/>
              </w:rPr>
              <w:t xml:space="preserve">b) De toetsen en hun foutmelding:</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2900"/>
              <w:gridCol w:w="36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Regel</w:t>
                  </w:r>
                </w:p>
              </w:tc>
              <w:tc>
                <w:tcPr>
                  <w:tcW w:type="dxa" w:w="2900"/>
                  <w:shd w:fill="1F3A5F" w:val="clear"/>
                  <w:tcMar>
                    <w:top w:type="dxa" w:w="100"/>
                    <w:left w:type="dxa" w:w="120"/>
                    <w:bottom w:type="dxa" w:w="100"/>
                    <w:right w:type="dxa" w:w="120"/>
                  </w:tcMar>
                  <w:vAlign w:val="center"/>
                </w:tcPr>
                <w:p>
                  <w:r>
                    <w:rPr>
                      <w:b/>
                      <w:bCs/>
                      <w:color w:val="FFFFFF"/>
                      <w:sz w:val="19"/>
                      <w:szCs w:val="19"/>
                    </w:rPr>
                    <w:t xml:space="preserve">Toets faalt bij</w:t>
                  </w:r>
                </w:p>
              </w:tc>
              <w:tc>
                <w:tcPr>
                  <w:tcW w:type="dxa" w:w="3638"/>
                  <w:shd w:fill="1F3A5F" w:val="clear"/>
                  <w:tcMar>
                    <w:top w:type="dxa" w:w="100"/>
                    <w:left w:type="dxa" w:w="120"/>
                    <w:bottom w:type="dxa" w:w="100"/>
                    <w:right w:type="dxa" w:w="120"/>
                  </w:tcMar>
                  <w:vAlign w:val="center"/>
                </w:tcPr>
                <w:p>
                  <w:r>
                    <w:rPr>
                      <w:b/>
                      <w:bCs/>
                      <w:color w:val="FFFFFF"/>
                      <w:sz w:val="19"/>
                      <w:szCs w:val="19"/>
                    </w:rPr>
                    <w:t xml:space="preserve">Ontwikkelaar ziet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Modules bezitten eigen gegevens</w:t>
                  </w:r>
                </w:p>
              </w:tc>
              <w:tc>
                <w:tcPr>
                  <w:tcW w:type="dxa" w:w="2900"/>
                  <w:tcMar>
                    <w:top w:type="dxa" w:w="100"/>
                    <w:left w:type="dxa" w:w="120"/>
                    <w:bottom w:type="dxa" w:w="100"/>
                    <w:right w:type="dxa" w:w="120"/>
                  </w:tcMar>
                  <w:vAlign w:val="center"/>
                </w:tcPr>
                <w:p>
                  <w:r>
                    <w:rPr>
                      <w:b w:val="false"/>
                      <w:bCs w:val="false"/>
                      <w:color w:val="1F2937"/>
                      <w:sz w:val="19"/>
                      <w:szCs w:val="19"/>
                    </w:rPr>
                    <w:t xml:space="preserve">Query op een ander moduleschema</w:t>
                  </w:r>
                </w:p>
              </w:tc>
              <w:tc>
                <w:tcPr>
                  <w:tcW w:type="dxa" w:w="3638"/>
                  <w:tcMar>
                    <w:top w:type="dxa" w:w="100"/>
                    <w:left w:type="dxa" w:w="120"/>
                    <w:bottom w:type="dxa" w:w="100"/>
                    <w:right w:type="dxa" w:w="120"/>
                  </w:tcMar>
                  <w:vAlign w:val="center"/>
                </w:tcPr>
                <w:p>
                  <w:r>
                    <w:rPr>
                      <w:b w:val="false"/>
                      <w:bCs w:val="false"/>
                      <w:color w:val="1F2937"/>
                      <w:sz w:val="19"/>
                      <w:szCs w:val="19"/>
                    </w:rPr>
                    <w:t xml:space="preserve">"Module A benadert schema van B; gebruik het koppelvlak"</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Verwijzen met identiteiten</w:t>
                  </w:r>
                </w:p>
              </w:tc>
              <w:tc>
                <w:tcPr>
                  <w:tcW w:type="dxa" w:w="2900"/>
                  <w:tcMar>
                    <w:top w:type="dxa" w:w="100"/>
                    <w:left w:type="dxa" w:w="120"/>
                    <w:bottom w:type="dxa" w:w="100"/>
                    <w:right w:type="dxa" w:w="120"/>
                  </w:tcMar>
                  <w:vAlign w:val="center"/>
                </w:tcPr>
                <w:p>
                  <w:r>
                    <w:rPr>
                      <w:b w:val="false"/>
                      <w:bCs w:val="false"/>
                      <w:color w:val="1F2937"/>
                      <w:sz w:val="19"/>
                      <w:szCs w:val="19"/>
                    </w:rPr>
                    <w:t xml:space="preserve">Typeverwijzing over modulegrens</w:t>
                  </w:r>
                </w:p>
              </w:tc>
              <w:tc>
                <w:tcPr>
                  <w:tcW w:type="dxa" w:w="3638"/>
                  <w:tcMar>
                    <w:top w:type="dxa" w:w="100"/>
                    <w:left w:type="dxa" w:w="120"/>
                    <w:bottom w:type="dxa" w:w="100"/>
                    <w:right w:type="dxa" w:w="120"/>
                  </w:tcMar>
                  <w:vAlign w:val="center"/>
                </w:tcPr>
                <w:p>
                  <w:r>
                    <w:rPr>
                      <w:b w:val="false"/>
                      <w:bCs w:val="false"/>
                      <w:color w:val="1F2937"/>
                      <w:sz w:val="19"/>
                      <w:szCs w:val="19"/>
                    </w:rPr>
                    <w:t xml:space="preserve">"Type X uit module B gebruikt in A; gebruik het identificatietype"</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Klok niet rechtstreeks lezen</w:t>
                  </w:r>
                </w:p>
              </w:tc>
              <w:tc>
                <w:tcPr>
                  <w:tcW w:type="dxa" w:w="2900"/>
                  <w:tcMar>
                    <w:top w:type="dxa" w:w="100"/>
                    <w:left w:type="dxa" w:w="120"/>
                    <w:bottom w:type="dxa" w:w="100"/>
                    <w:right w:type="dxa" w:w="120"/>
                  </w:tcMar>
                  <w:vAlign w:val="center"/>
                </w:tcPr>
                <w:p>
                  <w:r>
                    <w:rPr>
                      <w:b w:val="false"/>
                      <w:bCs w:val="false"/>
                      <w:color w:val="1F2937"/>
                      <w:sz w:val="19"/>
                      <w:szCs w:val="19"/>
                    </w:rPr>
                    <w:t xml:space="preserve">Klokaanroep buiten de tijdadapter</w:t>
                  </w:r>
                </w:p>
              </w:tc>
              <w:tc>
                <w:tcPr>
                  <w:tcW w:type="dxa" w:w="3638"/>
                  <w:tcMar>
                    <w:top w:type="dxa" w:w="100"/>
                    <w:left w:type="dxa" w:w="120"/>
                    <w:bottom w:type="dxa" w:w="100"/>
                    <w:right w:type="dxa" w:w="120"/>
                  </w:tcMar>
                  <w:vAlign w:val="center"/>
                </w:tcPr>
                <w:p>
                  <w:r>
                    <w:rPr>
                      <w:b w:val="false"/>
                      <w:bCs w:val="false"/>
                      <w:color w:val="1F2937"/>
                      <w:sz w:val="19"/>
                      <w:szCs w:val="19"/>
                    </w:rPr>
                    <w:t xml:space="preserve">"Directe klokaanroep in domeincode; gebruik de tijdpoort"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Correlatie meegegeven</w:t>
                  </w:r>
                </w:p>
              </w:tc>
              <w:tc>
                <w:tcPr>
                  <w:tcW w:type="dxa" w:w="2900"/>
                  <w:tcMar>
                    <w:top w:type="dxa" w:w="100"/>
                    <w:left w:type="dxa" w:w="120"/>
                    <w:bottom w:type="dxa" w:w="100"/>
                    <w:right w:type="dxa" w:w="120"/>
                  </w:tcMar>
                  <w:vAlign w:val="center"/>
                </w:tcPr>
                <w:p>
                  <w:r>
                    <w:rPr>
                      <w:b w:val="false"/>
                      <w:bCs w:val="false"/>
                      <w:color w:val="1F2937"/>
                      <w:sz w:val="19"/>
                      <w:szCs w:val="19"/>
                    </w:rPr>
                    <w:t xml:space="preserve">Logregel zonder correlatieveld</w:t>
                  </w:r>
                </w:p>
              </w:tc>
              <w:tc>
                <w:tcPr>
                  <w:tcW w:type="dxa" w:w="3638"/>
                  <w:tcMar>
                    <w:top w:type="dxa" w:w="100"/>
                    <w:left w:type="dxa" w:w="120"/>
                    <w:bottom w:type="dxa" w:w="100"/>
                    <w:right w:type="dxa" w:w="120"/>
                  </w:tcMar>
                  <w:vAlign w:val="center"/>
                </w:tcPr>
                <w:p>
                  <w:r>
                    <w:rPr>
                      <w:b w:val="false"/>
                      <w:bCs w:val="false"/>
                      <w:color w:val="1F2937"/>
                      <w:sz w:val="19"/>
                      <w:szCs w:val="19"/>
                    </w:rPr>
                    <w:t xml:space="preserve">"Logregel zonder correlatie op regel 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Eén transactie, één module</w:t>
                  </w:r>
                </w:p>
              </w:tc>
              <w:tc>
                <w:tcPr>
                  <w:tcW w:type="dxa" w:w="2900"/>
                  <w:tcMar>
                    <w:top w:type="dxa" w:w="100"/>
                    <w:left w:type="dxa" w:w="120"/>
                    <w:bottom w:type="dxa" w:w="100"/>
                    <w:right w:type="dxa" w:w="120"/>
                  </w:tcMar>
                  <w:vAlign w:val="center"/>
                </w:tcPr>
                <w:p>
                  <w:r>
                    <w:rPr>
                      <w:b w:val="false"/>
                      <w:bCs w:val="false"/>
                      <w:color w:val="1F2937"/>
                      <w:sz w:val="19"/>
                      <w:szCs w:val="19"/>
                    </w:rPr>
                    <w:t xml:space="preserve">Transactie over twee schema's</w:t>
                  </w:r>
                </w:p>
              </w:tc>
              <w:tc>
                <w:tcPr>
                  <w:tcW w:type="dxa" w:w="3638"/>
                  <w:tcMar>
                    <w:top w:type="dxa" w:w="100"/>
                    <w:left w:type="dxa" w:w="120"/>
                    <w:bottom w:type="dxa" w:w="100"/>
                    <w:right w:type="dxa" w:w="120"/>
                  </w:tcMar>
                  <w:vAlign w:val="center"/>
                </w:tcPr>
                <w:p>
                  <w:r>
                    <w:rPr>
                      <w:b w:val="false"/>
                      <w:bCs w:val="false"/>
                      <w:color w:val="1F2937"/>
                      <w:sz w:val="19"/>
                      <w:szCs w:val="19"/>
                    </w:rPr>
                    <w:t xml:space="preserve">"Transactie raakt module A en B; gebruik een gebeurtenis"</w:t>
                  </w:r>
                </w:p>
              </w:tc>
            </w:tr>
          </w:tbl>
          <w:p>
            <w:pPr>
              <w:spacing w:after="100"/>
            </w:pPr>
          </w:p>
          <w:p>
            <w:pPr>
              <w:spacing w:after="120" w:line="276"/>
            </w:pPr>
            <w:r>
              <w:rPr>
                <w:color w:val="1F2937"/>
                <w:sz w:val="21"/>
                <w:szCs w:val="21"/>
              </w:rPr>
              <w:t xml:space="preserve">De foutmelding is onderdeel van de toets. Een controle die faalt met een technische melding zonder handelingsperspectief wordt ervaren als obstakel; met een melding die de regel benoemt én het alternatief noemt, wordt zij ervaren als hulp. Dat verschil bepaalt of de toets over een jaar nog aanstaat.</w:t>
            </w:r>
          </w:p>
          <w:p>
            <w:pPr>
              <w:spacing w:after="120" w:line="276"/>
            </w:pPr>
            <w:r>
              <w:rPr>
                <w:b/>
                <w:bCs/>
                <w:color w:val="1F2937"/>
                <w:sz w:val="21"/>
                <w:szCs w:val="21"/>
              </w:rPr>
              <w:t xml:space="preserve">c) </w:t>
            </w:r>
            <w:r>
              <w:rPr>
                <w:color w:val="1F2937"/>
                <w:sz w:val="21"/>
                <w:szCs w:val="21"/>
              </w:rPr>
              <w:t xml:space="preserve">In de straat: alles wat deterministisch en snel te meten is — doorlooptijd op een vaste dataset, batchdoorvoer. Handmatig blijven: de wijzigbaarheidsproef (een extra mutatiesoort bouwen en klokken) en de reconstructieproef, want beide vragen een mens.</w:t>
            </w:r>
          </w:p>
          <w:p>
            <w:pPr>
              <w:spacing w:after="120" w:line="276"/>
            </w:pPr>
            <w:r>
              <w:rPr>
                <w:color w:val="1F2937"/>
                <w:sz w:val="21"/>
                <w:szCs w:val="21"/>
              </w:rPr>
              <w:t xml:space="preserve">Dat is geen tekortkoming. De twee belangrijkste proeven uit het meetplan van deel 6 zijn niet te automatiseren, en dat was daar al vastgesteld.</w:t>
            </w:r>
          </w:p>
          <w:p>
            <w:pPr>
              <w:spacing w:after="120" w:line="276"/>
            </w:pPr>
            <w:r>
              <w:rPr>
                <w:b/>
                <w:bCs/>
                <w:color w:val="1F2937"/>
                <w:sz w:val="21"/>
                <w:szCs w:val="21"/>
              </w:rPr>
              <w:t xml:space="preserve">d) </w:t>
            </w:r>
            <w:r>
              <w:rPr>
                <w:color w:val="1F2937"/>
                <w:sz w:val="21"/>
                <w:szCs w:val="21"/>
              </w:rPr>
              <w:t xml:space="preserve">In bijlage AS zit de meeste tijd in de integratietoetsen. De gebruikelijke verbeteringen: parallelliseren, de traagste toetsen naar een latere fase verplaatsen, en de omgevingsopbouw hergebruiken in plaats van per uitvoering opnieuw.</w:t>
            </w:r>
          </w:p>
          <w:p>
            <w:pPr>
              <w:spacing w:after="120" w:line="276"/>
            </w:pPr>
            <w:r>
              <w:rPr>
                <w:color w:val="1F2937"/>
                <w:sz w:val="21"/>
                <w:szCs w:val="21"/>
              </w:rPr>
              <w:t xml:space="preserve">Waar het om gaat: 47 minuten is de tijd waarbinnen u een fout kunt corrigeren. Dat is een kwaliteitseigenschap en het hoort een norm te hebben.</w:t>
            </w:r>
          </w:p>
          <w:p>
            <w:pPr>
              <w:spacing w:after="120" w:line="276"/>
            </w:pPr>
            <w:r>
              <w:rPr>
                <w:b/>
                <w:bCs/>
                <w:color w:val="1F2937"/>
                <w:sz w:val="21"/>
                <w:szCs w:val="21"/>
              </w:rPr>
              <w:t xml:space="preserve">e) </w:t>
            </w:r>
            <w:r>
              <w:rPr>
                <w:color w:val="1F2937"/>
                <w:sz w:val="21"/>
                <w:szCs w:val="21"/>
              </w:rPr>
              <w:t xml:space="preserve">De drie onbetrouwbare toetsen: repareren of verwijderen, en wel binnen een termijn met een eigenaar. Een straat met tien onbetrouwbare toetsen is slechter dan een met drie betrouwbare, want het faalsignaal verliest zijn betekenis — en dan wordt het genegeerd, ook als het echt is.</w:t>
            </w:r>
          </w:p>
          <w:p>
            <w:pPr>
              <w:spacing w:after="120" w:line="276"/>
            </w:pPr>
            <w:r>
              <w:rPr>
                <w:color w:val="1F2937"/>
                <w:sz w:val="21"/>
                <w:szCs w:val="21"/>
              </w:rPr>
              <w:t xml:space="preserve">Groepen die antwoorden "we laten ze staan tot iemand tijd heeft", beschrijven precies hoe dit in de praktijk misgaat.</w:t>
            </w:r>
          </w:p>
        </w:tc>
      </w:tr>
    </w:tbl>
    <w:p>
      <w:pPr>
        <w:spacing w:after="300"/>
      </w:pPr>
    </w:p>
    <w:p>
      <w:pPr>
        <w:pStyle w:val="Heading1"/>
        <w:pBdr>
          <w:bottom w:val="single" w:color="E5E7EB" w:sz="6" w:space="6"/>
        </w:pBdr>
        <w:spacing w:after="180" w:before="380"/>
      </w:pPr>
      <w:r>
        <w:rPr>
          <w:b/>
          <w:bCs/>
          <w:color w:val="1F3A5F"/>
          <w:sz w:val="30"/>
          <w:szCs w:val="30"/>
        </w:rPr>
        <w:t xml:space="preserve">Opdracht 15.5 — Uitrolstrategie kiezen (duo's,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Kies per dienst een uitrolstrategie: de modulith en de conversiedienst. Motiveer met de beschikbaarheidseis, niet met een voorkeur.</w:t>
      </w:r>
    </w:p>
    <w:p>
      <w:pPr>
        <w:pStyle w:val="ListParagraph"/>
        <w:numPr>
          <w:ilvl w:val="0"/>
          <w:numId w:val="2"/>
        </w:numPr>
        <w:spacing w:after="100"/>
      </w:pPr>
      <w:r>
        <w:rPr>
          <w:b/>
          <w:bCs/>
          <w:color w:val="1F2937"/>
          <w:sz w:val="22"/>
          <w:szCs w:val="22"/>
        </w:rPr>
        <w:t xml:space="preserve">b)</w:t>
      </w:r>
      <w:r>
        <w:rPr>
          <w:color w:val="1F2937"/>
          <w:sz w:val="22"/>
          <w:szCs w:val="22"/>
        </w:rPr>
        <w:t xml:space="preserve"> De volgende uitrol bevat een databasewijziging: een kolom wordt hernoemd. Beschrijf het volledige verloop over meerdere uitrollen, zodanig dat rollend uitrollen mogelijk blijft.</w:t>
      </w:r>
    </w:p>
    <w:p>
      <w:pPr>
        <w:pStyle w:val="ListParagraph"/>
        <w:numPr>
          <w:ilvl w:val="0"/>
          <w:numId w:val="2"/>
        </w:numPr>
        <w:spacing w:after="100"/>
      </w:pPr>
      <w:r>
        <w:rPr>
          <w:b/>
          <w:bCs/>
          <w:color w:val="1F2937"/>
          <w:sz w:val="22"/>
          <w:szCs w:val="22"/>
        </w:rPr>
        <w:t xml:space="preserve">c)</w:t>
      </w:r>
      <w:r>
        <w:rPr>
          <w:color w:val="1F2937"/>
          <w:sz w:val="22"/>
          <w:szCs w:val="22"/>
        </w:rPr>
        <w:t xml:space="preserve"> Idem voor een gebeurtenisformaat waarin een veld van betekenis verandert. Verbind met deel 14.</w:t>
      </w:r>
    </w:p>
    <w:p>
      <w:pPr>
        <w:pStyle w:val="ListParagraph"/>
        <w:numPr>
          <w:ilvl w:val="0"/>
          <w:numId w:val="2"/>
        </w:numPr>
        <w:spacing w:after="100"/>
      </w:pPr>
      <w:r>
        <w:rPr>
          <w:b/>
          <w:bCs/>
          <w:color w:val="1F2937"/>
          <w:sz w:val="22"/>
          <w:szCs w:val="22"/>
        </w:rPr>
        <w:t xml:space="preserve">d) De terugdraaivraag.</w:t>
      </w:r>
      <w:r>
        <w:rPr>
          <w:color w:val="1F2937"/>
          <w:sz w:val="22"/>
          <w:szCs w:val="22"/>
        </w:rPr>
        <w:t xml:space="preserve"> De nieuwe versie heeft twee uur gedraaid en 400 mutaties verwerkt, waarbij zij gegevens in een nieuw formaat heeft weggeschreven. U wilt terug. Kan dat? Wat had u vooraf moeten regelen?</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wat u in een ADR vastlegt over uitrolstrategie en migraties.</w:t>
      </w:r>
    </w:p>
    <w:p>
      <w:pPr>
        <w:spacing w:after="160" w:line="276"/>
      </w:pPr>
      <w:r>
        <w:rPr>
          <w:color w:val="1F2937"/>
          <w:sz w:val="22"/>
          <w:szCs w:val="22"/>
        </w:rPr>
        <w:t xml:space="preserve">Onderdeel d) is de vraag die in de praktijk tijdens een storing wordt gesteld en dan te laat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15.5</w:t>
            </w:r>
          </w:p>
          <w:p>
            <w:pPr>
              <w:spacing w:after="80"/>
            </w:pPr>
          </w:p>
          <w:p>
            <w:pPr>
              <w:spacing w:after="120" w:line="276"/>
            </w:pPr>
            <w:r>
              <w:rPr>
                <w:b/>
                <w:bCs/>
                <w:color w:val="1F2937"/>
                <w:sz w:val="21"/>
                <w:szCs w:val="21"/>
              </w:rPr>
              <w:t xml:space="preserve">a) </w:t>
            </w:r>
            <w:r>
              <w:rPr>
                <w:color w:val="1F2937"/>
                <w:sz w:val="21"/>
                <w:szCs w:val="21"/>
              </w:rPr>
              <w:t xml:space="preserve">Modulith: kort stilstandvenster buiten kantooruren. Verdedigbaar omdat er geen 24-uurseis is en de operationele eenvoud bij drie teams zwaar weegt. Conversiedienst: rollend, want geen interactieve gebruikers en zij moet apart uitrolbaar zijn — dat was de grond van de splitsing.</w:t>
            </w:r>
          </w:p>
          <w:p>
            <w:pPr>
              <w:spacing w:after="120" w:line="276"/>
            </w:pPr>
            <w:r>
              <w:rPr>
                <w:b/>
                <w:bCs/>
                <w:color w:val="1F2937"/>
                <w:sz w:val="21"/>
                <w:szCs w:val="21"/>
              </w:rPr>
              <w:t xml:space="preserve">b) Kolom hernoemen over drie uitrollen:</w:t>
            </w:r>
            <w:r>
              <w:rPr>
                <w:color w:val="1F2937"/>
                <w:sz w:val="21"/>
                <w:szCs w:val="21"/>
              </w:rPr>
              <w:t xml:space="preserve"/>
            </w:r>
          </w:p>
          <w:p>
            <w:pPr>
              <w:pStyle w:val="ListParagraph"/>
              <w:numPr>
                <w:ilvl w:val="0"/>
                <w:numId w:val="3"/>
              </w:numPr>
              <w:spacing w:after="120"/>
            </w:pPr>
            <w:r>
              <w:rPr>
                <w:color w:val="1F2937"/>
                <w:sz w:val="22"/>
                <w:szCs w:val="22"/>
              </w:rPr>
              <w:t xml:space="preserve">Nieuwe kolom toevoegen; code schrijft naar beide, leest uit de oude.</w:t>
            </w:r>
          </w:p>
          <w:p>
            <w:pPr>
              <w:pStyle w:val="ListParagraph"/>
              <w:numPr>
                <w:ilvl w:val="0"/>
                <w:numId w:val="3"/>
              </w:numPr>
              <w:spacing w:after="120"/>
            </w:pPr>
            <w:r>
              <w:rPr>
                <w:color w:val="1F2937"/>
                <w:sz w:val="22"/>
                <w:szCs w:val="22"/>
              </w:rPr>
              <w:t xml:space="preserve">Bestaande gegevens migreren; code leest uit de nieuwe, schrijft nog naar beide.</w:t>
            </w:r>
          </w:p>
          <w:p>
            <w:pPr>
              <w:pStyle w:val="ListParagraph"/>
              <w:numPr>
                <w:ilvl w:val="0"/>
                <w:numId w:val="3"/>
              </w:numPr>
              <w:spacing w:after="120"/>
            </w:pPr>
            <w:r>
              <w:rPr>
                <w:color w:val="1F2937"/>
                <w:sz w:val="22"/>
                <w:szCs w:val="22"/>
              </w:rPr>
              <w:t xml:space="preserve">Schrijven naar de oude kolom stoppen; oude kolom verwijderen in een latere uitrol.</w:t>
            </w:r>
          </w:p>
          <w:p>
            <w:pPr>
              <w:spacing w:after="120" w:line="276"/>
            </w:pPr>
            <w:r>
              <w:rPr>
                <w:color w:val="1F2937"/>
                <w:sz w:val="21"/>
                <w:szCs w:val="21"/>
              </w:rPr>
              <w:t xml:space="preserve">Groepen die dit in twee stappen doen, breken de rollende uitrol op het moment dat oude en nieuwe versie tegelijk draaien.</w:t>
            </w:r>
          </w:p>
          <w:p>
            <w:pPr>
              <w:spacing w:after="120" w:line="276"/>
            </w:pPr>
            <w:r>
              <w:rPr>
                <w:b/>
                <w:bCs/>
                <w:color w:val="1F2937"/>
                <w:sz w:val="21"/>
                <w:szCs w:val="21"/>
              </w:rPr>
              <w:t xml:space="preserve">c) </w:t>
            </w:r>
            <w:r>
              <w:rPr>
                <w:color w:val="1F2937"/>
                <w:sz w:val="21"/>
                <w:szCs w:val="21"/>
              </w:rPr>
              <w:t xml:space="preserve">Bij een gebeurtenisformaat waarvan een veld van betekenis verandert: geen wijziging maar een nieuw gebeurtenistype, precies zoals in deel 14. De oude blijft leesbaar, de nieuwe wordt geschreven, en beide worden verwerkt zolang de oude in de opslag staat — zeven jaar.</w:t>
            </w:r>
          </w:p>
          <w:p>
            <w:pPr>
              <w:spacing w:after="120" w:line="276"/>
            </w:pPr>
            <w:r>
              <w:rPr>
                <w:b/>
                <w:bCs/>
                <w:color w:val="1F2937"/>
                <w:sz w:val="21"/>
                <w:szCs w:val="21"/>
              </w:rPr>
              <w:t xml:space="preserve">d) De terugdraaivraag.</w:t>
            </w:r>
            <w:r>
              <w:rPr>
                <w:color w:val="1F2937"/>
                <w:sz w:val="21"/>
                <w:szCs w:val="21"/>
              </w:rPr>
              <w:t xml:space="preserve"> Terugdraaien kan alleen als de oude versie de gegevens die de nieuwe heeft geschreven, kan lezen of veilig kan negeren. Dat betekent: de nieuwe versie schrijft additief (nieuwe velden, geen betekeniswijziging), en de oude negeert wat zij niet kent.</w:t>
            </w:r>
          </w:p>
          <w:p>
            <w:pPr>
              <w:spacing w:after="120" w:line="276"/>
            </w:pPr>
            <w:r>
              <w:rPr>
                <w:color w:val="1F2937"/>
                <w:sz w:val="21"/>
                <w:szCs w:val="21"/>
              </w:rPr>
              <w:t xml:space="preserve">Heeft de nieuwe versie een betekeniswijziging doorgevoerd, dan is terugdraaien geen optie en moet u vooruit corrigeren. Dat is een beslissing die u vóór de uitrol neemt, niet tijdens de storing — en het is precies waarom onderdeel e) bestaat.</w:t>
            </w:r>
          </w:p>
          <w:p>
            <w:pPr>
              <w:spacing w:after="120" w:line="276"/>
            </w:pPr>
            <w:r>
              <w:rPr>
                <w:b/>
                <w:bCs/>
                <w:color w:val="1F2937"/>
                <w:sz w:val="21"/>
                <w:szCs w:val="21"/>
              </w:rPr>
              <w:t xml:space="preserve">e) In de ADR: </w:t>
            </w:r>
            <w:r>
              <w:rPr>
                <w:color w:val="1F2937"/>
                <w:sz w:val="21"/>
                <w:szCs w:val="21"/>
              </w:rPr>
              <w:t xml:space="preserve">de strategie per dienst met motivering; de regel dat migraties over minstens drie uitrollen verlopen; de regel dat gebeurtenisformaten additief wijzigen; en de expliciete vaststelling per uitrol of terugdraaien mogelijk is.</w:t>
            </w:r>
          </w:p>
        </w:tc>
      </w:tr>
    </w:tbl>
    <w:p>
      <w:pPr>
        <w:spacing w:after="300"/>
      </w:pPr>
    </w:p>
    <w:p>
      <w:pPr>
        <w:pStyle w:val="Heading1"/>
        <w:pBdr>
          <w:bottom w:val="single" w:color="E5E7EB" w:sz="6" w:space="6"/>
        </w:pBdr>
        <w:spacing w:after="180" w:before="380"/>
      </w:pPr>
      <w:r>
        <w:rPr>
          <w:b/>
          <w:bCs/>
          <w:color w:val="1F3A5F"/>
          <w:sz w:val="30"/>
          <w:szCs w:val="30"/>
        </w:rPr>
        <w:t xml:space="preserve">Dagdeel B</w:t>
      </w:r>
    </w:p>
    <w:p>
      <w:pPr>
        <w:pStyle w:val="Heading1"/>
        <w:pBdr>
          <w:bottom w:val="single" w:color="E5E7EB" w:sz="6" w:space="6"/>
        </w:pBdr>
        <w:spacing w:after="180" w:before="380"/>
      </w:pPr>
      <w:r>
        <w:rPr>
          <w:b/>
          <w:bCs/>
          <w:color w:val="1F3A5F"/>
          <w:sz w:val="30"/>
          <w:szCs w:val="30"/>
        </w:rPr>
        <w:t xml:space="preserve">Opdracht 15.6 — De zes uur stilte (groepen van vier, 35 minuten)</w:t>
      </w:r>
    </w:p>
    <w:p>
      <w:pPr>
        <w:spacing w:after="160" w:line="276"/>
      </w:pPr>
      <w:r>
        <w:rPr>
          <w:color w:val="1F2937"/>
          <w:sz w:val="22"/>
          <w:szCs w:val="22"/>
        </w:rPr>
        <w:t xml:space="preserve">Bijlage AR bevat het storingsverslag: de doorgifte naar de kernadministratie stond zes uur stil zonder dat iemand het merkte.</w:t>
      </w:r>
    </w:p>
    <w:p>
      <w:pPr>
        <w:pStyle w:val="ListParagraph"/>
        <w:numPr>
          <w:ilvl w:val="0"/>
          <w:numId w:val="2"/>
        </w:numPr>
        <w:spacing w:after="100"/>
      </w:pPr>
      <w:r>
        <w:rPr>
          <w:b/>
          <w:bCs/>
          <w:color w:val="1F2937"/>
          <w:sz w:val="22"/>
          <w:szCs w:val="22"/>
        </w:rPr>
        <w:t xml:space="preserve">a)</w:t>
      </w:r>
      <w:r>
        <w:rPr>
          <w:color w:val="1F2937"/>
          <w:sz w:val="22"/>
          <w:szCs w:val="22"/>
        </w:rPr>
        <w:t xml:space="preserve"> Reconstrueer: wat ging er stil, en waarom kwam er geen melding?</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 zes metrieken uit paragraaf 15.6 zou dit hebben ontdekt, en na hoe lang?</w:t>
      </w:r>
    </w:p>
    <w:p>
      <w:pPr>
        <w:pStyle w:val="ListParagraph"/>
        <w:numPr>
          <w:ilvl w:val="0"/>
          <w:numId w:val="2"/>
        </w:numPr>
        <w:spacing w:after="100"/>
      </w:pPr>
      <w:r>
        <w:rPr>
          <w:b/>
          <w:bCs/>
          <w:color w:val="1F2937"/>
          <w:sz w:val="22"/>
          <w:szCs w:val="22"/>
        </w:rPr>
        <w:t xml:space="preserve">c)</w:t>
      </w:r>
      <w:r>
        <w:rPr>
          <w:color w:val="1F2937"/>
          <w:sz w:val="22"/>
          <w:szCs w:val="22"/>
        </w:rPr>
        <w:t xml:space="preserve"> Welke drempel stelt u in, en wat gebeurt er bij overschrijding? Denk aan de nachtbezetting.</w:t>
      </w:r>
    </w:p>
    <w:p>
      <w:pPr>
        <w:pStyle w:val="ListParagraph"/>
        <w:numPr>
          <w:ilvl w:val="0"/>
          <w:numId w:val="2"/>
        </w:numPr>
        <w:spacing w:after="100"/>
      </w:pPr>
      <w:r>
        <w:rPr>
          <w:b/>
          <w:bCs/>
          <w:color w:val="1F2937"/>
          <w:sz w:val="22"/>
          <w:szCs w:val="22"/>
        </w:rPr>
        <w:t xml:space="preserve">d)</w:t>
      </w:r>
      <w:r>
        <w:rPr>
          <w:color w:val="1F2937"/>
          <w:sz w:val="22"/>
          <w:szCs w:val="22"/>
        </w:rPr>
        <w:t xml:space="preserve"> Ontwerp de melding zelf: wat staat erin, zodat de ontvanger weet wat hij moet doen?</w:t>
      </w:r>
    </w:p>
    <w:p>
      <w:pPr>
        <w:pStyle w:val="ListParagraph"/>
        <w:numPr>
          <w:ilvl w:val="0"/>
          <w:numId w:val="2"/>
        </w:numPr>
        <w:spacing w:after="100"/>
      </w:pPr>
      <w:r>
        <w:rPr>
          <w:b/>
          <w:bCs/>
          <w:color w:val="1F2937"/>
          <w:sz w:val="22"/>
          <w:szCs w:val="22"/>
        </w:rPr>
        <w:t xml:space="preserve">e)</w:t>
      </w:r>
      <w:r>
        <w:rPr>
          <w:color w:val="1F2937"/>
          <w:sz w:val="22"/>
          <w:szCs w:val="22"/>
        </w:rPr>
        <w:t xml:space="preserve"> Verbind met deel 6 van niveau 1: welk begrip beschrijft deze storing, en waarom is hij zo moeilijk te ontdekken?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15.6</w:t>
            </w:r>
          </w:p>
          <w:p>
            <w:pPr>
              <w:spacing w:after="80"/>
            </w:pPr>
          </w:p>
          <w:p>
            <w:pPr>
              <w:spacing w:after="120" w:line="276"/>
            </w:pPr>
            <w:r>
              <w:rPr>
                <w:b/>
                <w:bCs/>
                <w:color w:val="1F2937"/>
                <w:sz w:val="21"/>
                <w:szCs w:val="21"/>
              </w:rPr>
              <w:t xml:space="preserve">a) </w:t>
            </w:r>
            <w:r>
              <w:rPr>
                <w:color w:val="1F2937"/>
                <w:sz w:val="21"/>
                <w:szCs w:val="21"/>
              </w:rPr>
              <w:t xml:space="preserve">De doorgifte stond stil doordat de verbinding met de kernadministratie was verbroken op een manier die geen fout opleverde — de aanroepen bleven wachten tot een tijdslimiet die op tien minuten stond, en werden daarna opnieuw in de wachtrij gezet. Er kwam geen melding omdat er niets faalde: er werd gewacht.</w:t>
            </w:r>
          </w:p>
          <w:p>
            <w:pPr>
              <w:spacing w:after="120" w:line="276"/>
            </w:pPr>
            <w:r>
              <w:rPr>
                <w:b/>
                <w:bCs/>
                <w:color w:val="1F2937"/>
                <w:sz w:val="21"/>
                <w:szCs w:val="21"/>
              </w:rPr>
              <w:t xml:space="preserve">b) </w:t>
            </w:r>
            <w:r>
              <w:rPr>
                <w:color w:val="1F2937"/>
                <w:sz w:val="21"/>
                <w:szCs w:val="21"/>
              </w:rPr>
              <w:t xml:space="preserve">De metriek oudste bericht in de outbox-wachtrij. Bij een drempel van 30 minuten zou dit binnen een half uur zijn ontdekt in plaats van na zes uur.</w:t>
            </w:r>
          </w:p>
          <w:p>
            <w:pPr>
              <w:spacing w:after="120" w:line="276"/>
            </w:pPr>
            <w:r>
              <w:rPr>
                <w:color w:val="1F2937"/>
                <w:sz w:val="21"/>
                <w:szCs w:val="21"/>
              </w:rPr>
              <w:t xml:space="preserve">De metriek aantal vastgelopen doorgiftes zou het niet hebben ontdekt, want er was niets vastgelopen — er stond iets stil. Dat onderscheid is de hele les.</w:t>
            </w:r>
          </w:p>
          <w:p>
            <w:pPr>
              <w:spacing w:after="120" w:line="276"/>
            </w:pPr>
            <w:r>
              <w:rPr>
                <w:b/>
                <w:bCs/>
                <w:color w:val="1F2937"/>
                <w:sz w:val="21"/>
                <w:szCs w:val="21"/>
              </w:rPr>
              <w:t xml:space="preserve">c) </w:t>
            </w:r>
            <w:r>
              <w:rPr>
                <w:color w:val="1F2937"/>
                <w:sz w:val="21"/>
                <w:szCs w:val="21"/>
              </w:rPr>
              <w:t xml:space="preserve">Drempel op de leeftijd van het oudste bericht. Met de nachtbezetting in gedachten: overdag een melding aan beheer; 's nachts een melding die naar de ochtend wordt uitgesteld, tenzij de wachtrij een tweede, hogere drempel overschrijdt waarbij de ochtenddoorlooptijd in gevaar komt.</w:t>
            </w:r>
          </w:p>
          <w:p>
            <w:pPr>
              <w:spacing w:after="120" w:line="276"/>
            </w:pPr>
            <w:r>
              <w:rPr>
                <w:color w:val="1F2937"/>
                <w:sz w:val="21"/>
                <w:szCs w:val="21"/>
              </w:rPr>
              <w:t xml:space="preserve">Dat is de afweging uit deel 6: zonder nachtbezetting moet automatisch herstel het werk doen, en alarmering is voor wat dat niet kan.</w:t>
            </w:r>
          </w:p>
          <w:p>
            <w:pPr>
              <w:spacing w:after="120" w:line="276"/>
            </w:pPr>
            <w:r>
              <w:rPr>
                <w:b/>
                <w:bCs/>
                <w:color w:val="1F2937"/>
                <w:sz w:val="21"/>
                <w:szCs w:val="21"/>
              </w:rPr>
              <w:t xml:space="preserve">d) De melding </w:t>
            </w:r>
            <w:r>
              <w:rPr>
                <w:color w:val="1F2937"/>
                <w:sz w:val="21"/>
                <w:szCs w:val="21"/>
              </w:rPr>
              <w:t xml:space="preserve">bevat: welke wachtrij, hoe oud het oudste bericht, hoeveel berichten wachten, wanneer de laatste succesvolle doorgifte was, en de correlatie-identificatie van het oudste bericht. Niet: een technische stacktrace zonder context.</w:t>
            </w:r>
          </w:p>
          <w:p>
            <w:pPr>
              <w:spacing w:after="120" w:line="276"/>
            </w:pPr>
            <w:r>
              <w:rPr>
                <w:color w:val="1F2937"/>
                <w:sz w:val="21"/>
                <w:szCs w:val="21"/>
              </w:rPr>
              <w:t xml:space="preserve">De toets: kan de ontvanger op grond van deze melding beslissen wat hij doet? Zo nee, is het geen melding maar ruis.</w:t>
            </w:r>
          </w:p>
          <w:p>
            <w:pPr>
              <w:spacing w:after="120" w:line="276"/>
            </w:pPr>
            <w:r>
              <w:rPr>
                <w:b/>
                <w:bCs/>
                <w:color w:val="1F2937"/>
                <w:sz w:val="21"/>
                <w:szCs w:val="21"/>
              </w:rPr>
              <w:t xml:space="preserve">e) </w:t>
            </w:r>
            <w:r>
              <w:rPr>
                <w:color w:val="1F2937"/>
                <w:sz w:val="21"/>
                <w:szCs w:val="21"/>
              </w:rPr>
              <w:t xml:space="preserve">Stille stilstand (deel 6 van niveau 1). Moeilijk te ontdekken omdat alle bewaking op fouten is gericht, en er is geen fout: er gebeurt niets. Bewaking op uitblijvende voortgang is de enige die dit vindt, en die moet u expliciet inrichten.</w:t>
            </w:r>
          </w:p>
        </w:tc>
      </w:tr>
    </w:tbl>
    <w:p>
      <w:pPr>
        <w:spacing w:after="300"/>
      </w:pPr>
    </w:p>
    <w:p>
      <w:pPr>
        <w:pStyle w:val="Heading1"/>
        <w:pBdr>
          <w:bottom w:val="single" w:color="E5E7EB" w:sz="6" w:space="6"/>
        </w:pBdr>
        <w:spacing w:after="180" w:before="380"/>
      </w:pPr>
      <w:r>
        <w:rPr>
          <w:b/>
          <w:bCs/>
          <w:color w:val="1F3A5F"/>
          <w:sz w:val="30"/>
          <w:szCs w:val="30"/>
        </w:rPr>
        <w:t xml:space="preserve">Opdracht 15.7 — Het waarneembaarheidsconcept (duo's,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Stel de lijst metrieken op voor Mutatie 2.0. Beperk u tot maximaal acht en verdedig elke.</w:t>
      </w:r>
    </w:p>
    <w:p>
      <w:pPr>
        <w:pStyle w:val="ListParagraph"/>
        <w:numPr>
          <w:ilvl w:val="0"/>
          <w:numId w:val="2"/>
        </w:numPr>
        <w:spacing w:after="100"/>
      </w:pPr>
      <w:r>
        <w:rPr>
          <w:b/>
          <w:bCs/>
          <w:color w:val="1F2937"/>
          <w:sz w:val="22"/>
          <w:szCs w:val="22"/>
        </w:rPr>
        <w:t xml:space="preserve">b)</w:t>
      </w:r>
      <w:r>
        <w:rPr>
          <w:color w:val="1F2937"/>
          <w:sz w:val="22"/>
          <w:szCs w:val="22"/>
        </w:rPr>
        <w:t xml:space="preserve"> Bepaal per metriek: wie kijkt ernaar, hoe vaak, en wat doet hij bij afwijking?</w:t>
      </w:r>
    </w:p>
    <w:p>
      <w:pPr>
        <w:pStyle w:val="ListParagraph"/>
        <w:numPr>
          <w:ilvl w:val="0"/>
          <w:numId w:val="2"/>
        </w:numPr>
        <w:spacing w:after="100"/>
      </w:pPr>
      <w:r>
        <w:rPr>
          <w:b/>
          <w:bCs/>
          <w:color w:val="1F2937"/>
          <w:sz w:val="22"/>
          <w:szCs w:val="22"/>
        </w:rPr>
        <w:t xml:space="preserve">c)</w:t>
      </w:r>
      <w:r>
        <w:rPr>
          <w:color w:val="1F2937"/>
          <w:sz w:val="22"/>
          <w:szCs w:val="22"/>
        </w:rPr>
        <w:t xml:space="preserve"> Welke metrieken meten iets dat níét gebeurt? Er moeten er minstens twee zijn.</w:t>
      </w:r>
    </w:p>
    <w:p>
      <w:pPr>
        <w:pStyle w:val="ListParagraph"/>
        <w:numPr>
          <w:ilvl w:val="0"/>
          <w:numId w:val="2"/>
        </w:numPr>
        <w:spacing w:after="100"/>
      </w:pPr>
      <w:r>
        <w:rPr>
          <w:b/>
          <w:bCs/>
          <w:color w:val="1F2937"/>
          <w:sz w:val="22"/>
          <w:szCs w:val="22"/>
        </w:rPr>
        <w:t xml:space="preserve">d)</w:t>
      </w:r>
      <w:r>
        <w:rPr>
          <w:color w:val="1F2937"/>
          <w:sz w:val="22"/>
          <w:szCs w:val="22"/>
        </w:rPr>
        <w:t xml:space="preserve"> Wat logt u niet? Noem vijf zaken, met reden.</w:t>
      </w:r>
    </w:p>
    <w:p>
      <w:pPr>
        <w:pStyle w:val="ListParagraph"/>
        <w:numPr>
          <w:ilvl w:val="0"/>
          <w:numId w:val="2"/>
        </w:numPr>
        <w:spacing w:after="100"/>
      </w:pPr>
      <w:r>
        <w:rPr>
          <w:b/>
          <w:bCs/>
          <w:color w:val="1F2937"/>
          <w:sz w:val="22"/>
          <w:szCs w:val="22"/>
        </w:rPr>
        <w:t xml:space="preserve">e)</w:t>
      </w:r>
      <w:r>
        <w:rPr>
          <w:color w:val="1F2937"/>
          <w:sz w:val="22"/>
          <w:szCs w:val="22"/>
        </w:rPr>
        <w:t xml:space="preserve"> De correlatie-identificatie: beschrijf hoe zij door het hele systeem loopt, inclusief de asynchrone doorgifte, de outbox en de conversiedienst.</w:t>
      </w:r>
    </w:p>
    <w:p>
      <w:pPr>
        <w:pStyle w:val="ListParagraph"/>
        <w:numPr>
          <w:ilvl w:val="0"/>
          <w:numId w:val="2"/>
        </w:numPr>
        <w:spacing w:after="100"/>
      </w:pPr>
      <w:r>
        <w:rPr>
          <w:b/>
          <w:bCs/>
          <w:color w:val="1F2937"/>
          <w:sz w:val="22"/>
          <w:szCs w:val="22"/>
        </w:rPr>
        <w:t xml:space="preserve">f)</w:t>
      </w:r>
      <w:r>
        <w:rPr>
          <w:color w:val="1F2937"/>
          <w:sz w:val="22"/>
          <w:szCs w:val="22"/>
        </w:rPr>
        <w:t xml:space="preserve"> Waar zou u vandaag stranden als u een storing over drie systeemdelen moest volgen?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15.7</w:t>
            </w:r>
          </w:p>
          <w:p>
            <w:pPr>
              <w:spacing w:after="80"/>
            </w:pPr>
          </w:p>
          <w:p>
            <w:pPr>
              <w:spacing w:after="120" w:line="276"/>
            </w:pPr>
            <w:r>
              <w:rPr>
                <w:b/>
                <w:bCs/>
                <w:color w:val="1F2937"/>
                <w:sz w:val="21"/>
                <w:szCs w:val="21"/>
              </w:rPr>
              <w:t xml:space="preserve">a/c) </w:t>
            </w:r>
            <w:r>
              <w:rPr>
                <w:color w:val="1F2937"/>
                <w:sz w:val="21"/>
                <w:szCs w:val="21"/>
              </w:rPr>
              <w:t xml:space="preserve">De zes uit de reader plus hooguit twee. De twee die iets meten dat níét gebeurt: de leeftijd van het oudste outbox-bericht, en de achterstand per projectie. Groepen die alleen fout- en aantalmetrieken opschrijven, hebben de les van 15.6 niet meegenomen.</w:t>
            </w:r>
          </w:p>
          <w:p>
            <w:pPr>
              <w:spacing w:after="120" w:line="276"/>
            </w:pPr>
            <w:r>
              <w:rPr>
                <w:b/>
                <w:bCs/>
                <w:color w:val="1F2937"/>
                <w:sz w:val="21"/>
                <w:szCs w:val="21"/>
              </w:rPr>
              <w:t xml:space="preserve">b) </w:t>
            </w:r>
            <w:r>
              <w:rPr>
                <w:color w:val="1F2937"/>
                <w:sz w:val="21"/>
                <w:szCs w:val="21"/>
              </w:rPr>
              <w:t xml:space="preserve">De kolom "wat doet hij bij afwijking" is het onderscheidende deel. Een metriek zonder handelingsperspectief is een grafiek.</w:t>
            </w:r>
          </w:p>
          <w:p>
            <w:pPr>
              <w:spacing w:after="120" w:line="276"/>
            </w:pPr>
            <w:r>
              <w:rPr>
                <w:b/>
                <w:bCs/>
                <w:color w:val="1F2937"/>
                <w:sz w:val="21"/>
                <w:szCs w:val="21"/>
              </w:rPr>
              <w:t xml:space="preserve">d) Wat u niet logt: </w:t>
            </w:r>
            <w:r>
              <w:rPr>
                <w:color w:val="1F2937"/>
                <w:sz w:val="21"/>
                <w:szCs w:val="21"/>
              </w:rPr>
              <w:t xml:space="preserve">BSN en rekeningnummers leesbaar; volledige adressen in technische logging; relatiegegevens uit scheidings- en overlijdensmutaties; volledige berichtinhoud; tokens en sleutels.</w:t>
            </w:r>
          </w:p>
          <w:p>
            <w:pPr>
              <w:spacing w:after="120" w:line="276"/>
            </w:pPr>
            <w:r>
              <w:rPr>
                <w:b/>
                <w:bCs/>
                <w:color w:val="1F2937"/>
                <w:sz w:val="21"/>
                <w:szCs w:val="21"/>
              </w:rPr>
              <w:t xml:space="preserve">e) </w:t>
            </w:r>
            <w:r>
              <w:rPr>
                <w:color w:val="1F2937"/>
                <w:sz w:val="21"/>
                <w:szCs w:val="21"/>
              </w:rPr>
              <w:t xml:space="preserve">De correlatie wordt toegekend bij binnenkomst, meegegeven aan elke aanroep, opgeslagen in de outbox-regel, meegegeven bij het publiceren, en overgenomen door de conversiedienst. Het punt dat groepen missen is de outbox: als de correlatie daar niet in staat, breekt de keten precies op de asynchrone grens — en dat is waar zij het hardst nodig is.</w:t>
            </w:r>
          </w:p>
        </w:tc>
      </w:tr>
    </w:tbl>
    <w:p>
      <w:pPr>
        <w:spacing w:after="300"/>
      </w:pPr>
    </w:p>
    <w:p>
      <w:pPr>
        <w:pStyle w:val="Heading1"/>
        <w:pBdr>
          <w:bottom w:val="single" w:color="E5E7EB" w:sz="6" w:space="6"/>
        </w:pBdr>
        <w:spacing w:after="180" w:before="380"/>
      </w:pPr>
      <w:r>
        <w:rPr>
          <w:b/>
          <w:bCs/>
          <w:color w:val="1F3A5F"/>
          <w:sz w:val="30"/>
          <w:szCs w:val="30"/>
        </w:rPr>
        <w:t xml:space="preserve">Opdracht 15.8 — Dienstniveaudoelen formuleren (groepen van vier, 35 minuten)</w:t>
      </w:r>
    </w:p>
    <w:p>
      <w:pPr>
        <w:pStyle w:val="ListParagraph"/>
        <w:numPr>
          <w:ilvl w:val="0"/>
          <w:numId w:val="2"/>
        </w:numPr>
        <w:spacing w:after="100"/>
      </w:pPr>
      <w:r>
        <w:rPr>
          <w:b/>
          <w:bCs/>
          <w:color w:val="1F2937"/>
          <w:sz w:val="22"/>
          <w:szCs w:val="22"/>
        </w:rPr>
        <w:t xml:space="preserve">a)</w:t>
      </w:r>
      <w:r>
        <w:rPr>
          <w:color w:val="1F2937"/>
          <w:sz w:val="22"/>
          <w:szCs w:val="22"/>
        </w:rPr>
        <w:t xml:space="preserve"> Formuleer drie dienstniveaudoelen voor Mutatie 2.0, elk gemeten vanuit gebruikersperspectief.</w:t>
      </w:r>
    </w:p>
    <w:p>
      <w:pPr>
        <w:pStyle w:val="ListParagraph"/>
        <w:numPr>
          <w:ilvl w:val="0"/>
          <w:numId w:val="2"/>
        </w:numPr>
        <w:spacing w:after="100"/>
      </w:pPr>
      <w:r>
        <w:rPr>
          <w:b/>
          <w:bCs/>
          <w:color w:val="1F2937"/>
          <w:sz w:val="22"/>
          <w:szCs w:val="22"/>
        </w:rPr>
        <w:t xml:space="preserve">b)</w:t>
      </w:r>
      <w:r>
        <w:rPr>
          <w:color w:val="1F2937"/>
          <w:sz w:val="22"/>
          <w:szCs w:val="22"/>
        </w:rPr>
        <w:t xml:space="preserve"> Reken per doel het foutbudget uit in absolute aantallen per maand.</w:t>
      </w:r>
    </w:p>
    <w:p>
      <w:pPr>
        <w:pStyle w:val="ListParagraph"/>
        <w:numPr>
          <w:ilvl w:val="0"/>
          <w:numId w:val="2"/>
        </w:numPr>
        <w:spacing w:after="100"/>
      </w:pPr>
      <w:r>
        <w:rPr>
          <w:b/>
          <w:bCs/>
          <w:color w:val="1F2937"/>
          <w:sz w:val="22"/>
          <w:szCs w:val="22"/>
        </w:rPr>
        <w:t xml:space="preserve">c)</w:t>
      </w:r>
      <w:r>
        <w:rPr>
          <w:color w:val="1F2937"/>
          <w:sz w:val="22"/>
          <w:szCs w:val="22"/>
        </w:rPr>
        <w:t xml:space="preserve"> Voor één doel: beschrijf wat u doet als het budget halverwege de maand op is.</w:t>
      </w:r>
    </w:p>
    <w:p>
      <w:pPr>
        <w:pStyle w:val="ListParagraph"/>
        <w:numPr>
          <w:ilvl w:val="0"/>
          <w:numId w:val="2"/>
        </w:numPr>
        <w:spacing w:after="100"/>
      </w:pPr>
      <w:r>
        <w:rPr>
          <w:b/>
          <w:bCs/>
          <w:color w:val="1F2937"/>
          <w:sz w:val="22"/>
          <w:szCs w:val="22"/>
        </w:rPr>
        <w:t xml:space="preserve">d)</w:t>
      </w:r>
      <w:r>
        <w:rPr>
          <w:color w:val="1F2937"/>
          <w:sz w:val="22"/>
          <w:szCs w:val="22"/>
        </w:rPr>
        <w:t xml:space="preserve"> Wie stelt deze doelen vast? Wie mag ze wijzigen?</w:t>
      </w:r>
    </w:p>
    <w:p>
      <w:pPr>
        <w:pStyle w:val="ListParagraph"/>
        <w:numPr>
          <w:ilvl w:val="0"/>
          <w:numId w:val="2"/>
        </w:numPr>
        <w:spacing w:after="100"/>
      </w:pPr>
      <w:r>
        <w:rPr>
          <w:b/>
          <w:bCs/>
          <w:color w:val="1F2937"/>
          <w:sz w:val="22"/>
          <w:szCs w:val="22"/>
        </w:rPr>
        <w:t xml:space="preserve">e) De onderhandeling.</w:t>
      </w:r>
      <w:r>
        <w:rPr>
          <w:color w:val="1F2937"/>
          <w:sz w:val="22"/>
          <w:szCs w:val="22"/>
        </w:rPr>
        <w:t xml:space="preserve"> De product owner wil een nieuwe mutatiesoort uitrollen terwijl het foutbudget nog voor 15% over is. Voer het gesprek in twee minuten. Welk argument gebruikt u, en welke uitkomst is acceptabel?</w:t>
      </w:r>
    </w:p>
    <w:p>
      <w:pPr>
        <w:spacing w:after="160" w:line="276"/>
      </w:pPr>
      <w:r>
        <w:rPr>
          <w:color w:val="1F2937"/>
          <w:sz w:val="22"/>
          <w:szCs w:val="22"/>
        </w:rPr>
        <w:t xml:space="preserve">Onderdeel e) is de reden dat foutbudgetten bestaan: zij maken van een meningsverschil een rekensom.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15.8</w:t>
            </w:r>
          </w:p>
          <w:p>
            <w:pPr>
              <w:spacing w:after="80"/>
            </w:pPr>
          </w:p>
          <w:p>
            <w:pPr>
              <w:spacing w:after="120" w:line="276"/>
            </w:pPr>
            <w:r>
              <w:rPr>
                <w:b/>
                <w:bCs/>
                <w:color w:val="1F2937"/>
                <w:sz w:val="21"/>
                <w:szCs w:val="21"/>
              </w:rPr>
              <w:t xml:space="preserve">a) Drie verdedigbare doelen:</w:t>
            </w:r>
            <w:r>
              <w:rPr>
                <w:color w:val="1F2937"/>
                <w:sz w:val="21"/>
                <w:szCs w:val="21"/>
              </w:rPr>
              <w:t xml:space="preserve"/>
            </w:r>
          </w:p>
          <w:p>
            <w:pPr>
              <w:pStyle w:val="ListParagraph"/>
              <w:numPr>
                <w:ilvl w:val="0"/>
                <w:numId w:val="4"/>
              </w:numPr>
              <w:spacing w:after="120"/>
            </w:pPr>
            <w:r>
              <w:rPr>
                <w:color w:val="1F2937"/>
                <w:sz w:val="22"/>
                <w:szCs w:val="22"/>
              </w:rPr>
              <w:t xml:space="preserve">99,5% van de mutatiebevestigingen binnen 2 seconden, per kalendermaand.</w:t>
            </w:r>
          </w:p>
          <w:p>
            <w:pPr>
              <w:pStyle w:val="ListParagraph"/>
              <w:numPr>
                <w:ilvl w:val="0"/>
                <w:numId w:val="4"/>
              </w:numPr>
              <w:spacing w:after="120"/>
            </w:pPr>
            <w:r>
              <w:rPr>
                <w:color w:val="1F2937"/>
                <w:sz w:val="22"/>
                <w:szCs w:val="22"/>
              </w:rPr>
              <w:t xml:space="preserve">99,9% van de aanvaarde mutaties doorgegeven aan de kernadministratie binnen 15 minuten na herstel van een storing.</w:t>
            </w:r>
          </w:p>
          <w:p>
            <w:pPr>
              <w:pStyle w:val="ListParagraph"/>
              <w:numPr>
                <w:ilvl w:val="0"/>
                <w:numId w:val="4"/>
              </w:numPr>
              <w:spacing w:after="120"/>
            </w:pPr>
            <w:r>
              <w:rPr>
                <w:color w:val="1F2937"/>
                <w:sz w:val="22"/>
                <w:szCs w:val="22"/>
              </w:rPr>
              <w:t xml:space="preserve">99% van de werkgeversbatches volledig verwerkt binnen het nachtvenster.</w:t>
            </w:r>
          </w:p>
          <w:p>
            <w:pPr>
              <w:spacing w:after="100"/>
            </w:pPr>
          </w:p>
          <w:p>
            <w:pPr>
              <w:spacing w:after="120" w:line="276"/>
            </w:pPr>
            <w:r>
              <w:rPr>
                <w:b/>
                <w:bCs/>
                <w:color w:val="1F2937"/>
                <w:sz w:val="21"/>
                <w:szCs w:val="21"/>
              </w:rPr>
              <w:t xml:space="preserve">b) </w:t>
            </w:r>
            <w:r>
              <w:rPr>
                <w:color w:val="1F2937"/>
                <w:sz w:val="21"/>
                <w:szCs w:val="21"/>
              </w:rPr>
              <w:t xml:space="preserve">Bij 100.000 bevestigingen per maand geeft doel 1 een budget van 500 te trage bevestigingen. Doel 3 geeft bij ongeveer 250 batches per maand een budget van 2,5 — dus feitelijk twee mislukte batches.</w:t>
            </w:r>
          </w:p>
          <w:p>
            <w:pPr>
              <w:spacing w:after="120" w:line="276"/>
            </w:pPr>
            <w:r>
              <w:rPr>
                <w:color w:val="1F2937"/>
                <w:sz w:val="21"/>
                <w:szCs w:val="21"/>
              </w:rPr>
              <w:t xml:space="preserve">Dat laatste getal is instructief: bij lage aantallen wordt een percentagedoel snel betekenisloos of onhaalbaar streng. Voor doel 3 is een absoluut geformuleerd doel beter ("ten hoogste twee batches per kwartaal buiten het venster").</w:t>
            </w:r>
          </w:p>
          <w:p>
            <w:pPr>
              <w:spacing w:after="120" w:line="276"/>
            </w:pPr>
            <w:r>
              <w:rPr>
                <w:b/>
                <w:bCs/>
                <w:color w:val="1F2937"/>
                <w:sz w:val="21"/>
                <w:szCs w:val="21"/>
              </w:rPr>
              <w:t xml:space="preserve">c) </w:t>
            </w:r>
            <w:r>
              <w:rPr>
                <w:color w:val="1F2937"/>
                <w:sz w:val="21"/>
                <w:szCs w:val="21"/>
              </w:rPr>
              <w:t xml:space="preserve">Bij een opgebruikt budget: geen functionele uitrollen tot het budget zich herstelt, aandacht naar de oorzaak, en — belangrijk — dat besluit is vooraf afgesproken en wordt niet per geval onderhandeld.</w:t>
            </w:r>
          </w:p>
          <w:p>
            <w:pPr>
              <w:spacing w:after="120" w:line="276"/>
            </w:pPr>
            <w:r>
              <w:rPr>
                <w:b/>
                <w:bCs/>
                <w:color w:val="1F2937"/>
                <w:sz w:val="21"/>
                <w:szCs w:val="21"/>
              </w:rPr>
              <w:t xml:space="preserve">d) </w:t>
            </w:r>
            <w:r>
              <w:rPr>
                <w:color w:val="1F2937"/>
                <w:sz w:val="21"/>
                <w:szCs w:val="21"/>
              </w:rPr>
              <w:t xml:space="preserve">De doelen worden vastgesteld door de opdrachtgever samen met beheer, niet door de architect alleen. De architect levert het voorstel en de meting. Wijzigen kan alleen expliciet en vastgelegd — een doel dat stilzwijgend wordt verlaagd omdat het niet gehaald wordt, is geen doel.</w:t>
            </w:r>
          </w:p>
          <w:p>
            <w:pPr>
              <w:spacing w:after="120" w:line="276"/>
            </w:pPr>
            <w:r>
              <w:rPr>
                <w:b/>
                <w:bCs/>
                <w:color w:val="1F2937"/>
                <w:sz w:val="21"/>
                <w:szCs w:val="21"/>
              </w:rPr>
              <w:t xml:space="preserve">e) De onderhandeling.</w:t>
            </w:r>
            <w:r>
              <w:rPr>
                <w:color w:val="1F2937"/>
                <w:sz w:val="21"/>
                <w:szCs w:val="21"/>
              </w:rPr>
              <w:t xml:space="preserve"> Het argument is niet "het is niet veilig" maar: er is 15% budget over; deze uitrol heeft historisch X% budget gekost; als het misgaat, hebben we de rest van de maand geen ruimte meer voor de conversie-uitrol die op de 20e gepland staat.</w:t>
            </w:r>
          </w:p>
          <w:p>
            <w:pPr>
              <w:spacing w:after="120" w:line="276"/>
            </w:pPr>
            <w:r>
              <w:rPr>
                <w:color w:val="1F2937"/>
                <w:sz w:val="21"/>
                <w:szCs w:val="21"/>
              </w:rPr>
              <w:t xml:space="preserve">Acceptabele uitkomsten: uitrollen met kanarie op een klein deel van het verkeer; uitrollen na de conversie; of bewust uitrollen met de afspraak dat de conversie-uitrol verschuift. Onacceptabel is de discussie zonder getallen voeren — dat is precies wat het foutbudget voorkomt.</w:t>
            </w:r>
          </w:p>
        </w:tc>
      </w:tr>
    </w:tbl>
    <w:p>
      <w:pPr>
        <w:spacing w:after="300"/>
      </w:pPr>
    </w:p>
    <w:p>
      <w:pPr>
        <w:pStyle w:val="Heading1"/>
        <w:pBdr>
          <w:bottom w:val="single" w:color="E5E7EB" w:sz="6" w:space="6"/>
        </w:pBdr>
        <w:spacing w:after="180" w:before="380"/>
      </w:pPr>
      <w:r>
        <w:rPr>
          <w:b/>
          <w:bCs/>
          <w:color w:val="1F3A5F"/>
          <w:sz w:val="30"/>
          <w:szCs w:val="30"/>
        </w:rPr>
        <w:t xml:space="preserve">Opdracht 15.9 — Kosten van uw architectuur (duo's, 25 minuten)</w:t>
      </w:r>
    </w:p>
    <w:p>
      <w:pPr>
        <w:spacing w:after="160" w:line="276"/>
      </w:pPr>
      <w:r>
        <w:rPr>
          <w:color w:val="1F2937"/>
          <w:sz w:val="22"/>
          <w:szCs w:val="22"/>
        </w:rPr>
        <w:t xml:space="preserve">Bijlage AT bevat een maandoverzicht van infrastructuurkosten.</w:t>
      </w:r>
    </w:p>
    <w:p>
      <w:pPr>
        <w:pStyle w:val="ListParagraph"/>
        <w:numPr>
          <w:ilvl w:val="0"/>
          <w:numId w:val="2"/>
        </w:numPr>
        <w:spacing w:after="100"/>
      </w:pPr>
      <w:r>
        <w:rPr>
          <w:b/>
          <w:bCs/>
          <w:color w:val="1F2937"/>
          <w:sz w:val="22"/>
          <w:szCs w:val="22"/>
        </w:rPr>
        <w:t xml:space="preserve">a)</w:t>
      </w:r>
      <w:r>
        <w:rPr>
          <w:color w:val="1F2937"/>
          <w:sz w:val="22"/>
          <w:szCs w:val="22"/>
        </w:rPr>
        <w:t xml:space="preserve"> Welke posten zijn een rechtstreeks gevolg van een architectuurkeuze die u in deze cursus hebt gemaakt? Wijs de keuze aan.</w:t>
      </w:r>
    </w:p>
    <w:p>
      <w:pPr>
        <w:pStyle w:val="ListParagraph"/>
        <w:numPr>
          <w:ilvl w:val="0"/>
          <w:numId w:val="2"/>
        </w:numPr>
        <w:spacing w:after="100"/>
      </w:pPr>
      <w:r>
        <w:rPr>
          <w:b/>
          <w:bCs/>
          <w:color w:val="1F2937"/>
          <w:sz w:val="22"/>
          <w:szCs w:val="22"/>
        </w:rPr>
        <w:t xml:space="preserve">b)</w:t>
      </w:r>
      <w:r>
        <w:rPr>
          <w:color w:val="1F2937"/>
          <w:sz w:val="22"/>
          <w:szCs w:val="22"/>
        </w:rPr>
        <w:t xml:space="preserve"> Welke post groeit het snelst, en waardoor?</w:t>
      </w:r>
    </w:p>
    <w:p>
      <w:pPr>
        <w:pStyle w:val="ListParagraph"/>
        <w:numPr>
          <w:ilvl w:val="0"/>
          <w:numId w:val="2"/>
        </w:numPr>
        <w:spacing w:after="100"/>
      </w:pPr>
      <w:r>
        <w:rPr>
          <w:b/>
          <w:bCs/>
          <w:color w:val="1F2937"/>
          <w:sz w:val="22"/>
          <w:szCs w:val="22"/>
        </w:rPr>
        <w:t xml:space="preserve">c)</w:t>
      </w:r>
      <w:r>
        <w:rPr>
          <w:color w:val="1F2937"/>
          <w:sz w:val="22"/>
          <w:szCs w:val="22"/>
        </w:rPr>
        <w:t xml:space="preserve"> Reken uit wat zeven jaar gebeurtenissen bewaren kost bij het huidige volume. Verandert dat uw keuze uit deel 14?</w:t>
      </w:r>
    </w:p>
    <w:p>
      <w:pPr>
        <w:pStyle w:val="ListParagraph"/>
        <w:numPr>
          <w:ilvl w:val="0"/>
          <w:numId w:val="2"/>
        </w:numPr>
        <w:spacing w:after="100"/>
      </w:pPr>
      <w:r>
        <w:rPr>
          <w:b/>
          <w:bCs/>
          <w:color w:val="1F2937"/>
          <w:sz w:val="22"/>
          <w:szCs w:val="22"/>
        </w:rPr>
        <w:t xml:space="preserve">d)</w:t>
      </w:r>
      <w:r>
        <w:rPr>
          <w:color w:val="1F2937"/>
          <w:sz w:val="22"/>
          <w:szCs w:val="22"/>
        </w:rPr>
        <w:t xml:space="preserve"> De waarneembaarheidspost blijkt de op één na grootste. Wat doet u?</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hoe u kosten opneemt in een ADR — als wat voor soort post, en met welke eenheid?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15.9</w:t>
            </w:r>
          </w:p>
          <w:p>
            <w:pPr>
              <w:spacing w:after="80"/>
            </w:pPr>
          </w:p>
          <w:p>
            <w:pPr>
              <w:spacing w:after="120" w:line="276"/>
            </w:pPr>
            <w:r>
              <w:rPr>
                <w:b/>
                <w:bCs/>
                <w:color w:val="1F2937"/>
                <w:sz w:val="21"/>
                <w:szCs w:val="21"/>
              </w:rPr>
              <w:t xml:space="preserve">a) </w:t>
            </w:r>
            <w:r>
              <w:rPr>
                <w:color w:val="1F2937"/>
                <w:sz w:val="21"/>
                <w:szCs w:val="21"/>
              </w:rPr>
              <w:t xml:space="preserve">De posten die rechtstreeks uit cursuskeuzes volgen: de opslaggroei (event sourcing, deel 14), de tweede uitvoeringsomgeving voor de conversiedienst (splitsing, deel 13), en de waarneembaarheidspost (deel 15 zelf).</w:t>
            </w:r>
          </w:p>
          <w:p>
            <w:pPr>
              <w:spacing w:after="120" w:line="276"/>
            </w:pPr>
            <w:r>
              <w:rPr>
                <w:b/>
                <w:bCs/>
                <w:color w:val="1F2937"/>
                <w:sz w:val="21"/>
                <w:szCs w:val="21"/>
              </w:rPr>
              <w:t xml:space="preserve">b) </w:t>
            </w:r>
            <w:r>
              <w:rPr>
                <w:color w:val="1F2937"/>
                <w:sz w:val="21"/>
                <w:szCs w:val="21"/>
              </w:rPr>
              <w:t xml:space="preserve">De opslag groeit het snelst, en bij event sourcing is dat structureel: gebeurtenissen worden nooit verwijderd.</w:t>
            </w:r>
          </w:p>
          <w:p>
            <w:pPr>
              <w:spacing w:after="120" w:line="276"/>
            </w:pPr>
            <w:r>
              <w:rPr>
                <w:b/>
                <w:bCs/>
                <w:color w:val="1F2937"/>
                <w:sz w:val="21"/>
                <w:szCs w:val="21"/>
              </w:rPr>
              <w:t xml:space="preserve">c) </w:t>
            </w:r>
            <w:r>
              <w:rPr>
                <w:color w:val="1F2937"/>
                <w:sz w:val="21"/>
                <w:szCs w:val="21"/>
              </w:rPr>
              <w:t xml:space="preserve">Zeven jaar gebeurtenissen van 340.000 deelnemers is een reëel maar doorgaans overzichtelijk bedrag — gebeurtenissen zijn klein, en tekstuele gegevens comprimeren goed. De keuze uit deel 14 verandert er meestal niet door, en dat is een nuttige uitkomst: de kostenzorg rond event sourcing is vaker gevoel dan berekening.</w:t>
            </w:r>
          </w:p>
          <w:p>
            <w:pPr>
              <w:spacing w:after="120" w:line="276"/>
            </w:pPr>
            <w:r>
              <w:rPr>
                <w:color w:val="1F2937"/>
                <w:sz w:val="21"/>
                <w:szCs w:val="21"/>
              </w:rPr>
              <w:t xml:space="preserve">Wat wél verandert: de afweging over wat u ín de gebeurtenis zet. Bijlagen horen niet in de gebeurtenisstroom maar in aparte opslag met een verwijzing — dat was 15.1c en het is nu ook een kostenargument.</w:t>
            </w:r>
          </w:p>
          <w:p>
            <w:pPr>
              <w:spacing w:after="120" w:line="276"/>
            </w:pPr>
            <w:r>
              <w:rPr>
                <w:b/>
                <w:bCs/>
                <w:color w:val="1F2937"/>
                <w:sz w:val="21"/>
                <w:szCs w:val="21"/>
              </w:rPr>
              <w:t xml:space="preserve">d) </w:t>
            </w:r>
            <w:r>
              <w:rPr>
                <w:color w:val="1F2937"/>
                <w:sz w:val="21"/>
                <w:szCs w:val="21"/>
              </w:rPr>
              <w:t xml:space="preserve">De waarneembaarheidspost is de post die het snelst en het meest onopgemerkt groeit, meestal door alles-verzamelen. De maatregel: per gegevensstroom de vraag stellen welke vraag hij beantwoordt, en bewaartermijnen per soort instellen — technische logging dagen tot weken, niet zeven jaar (deel 8).</w:t>
            </w:r>
          </w:p>
          <w:p>
            <w:pPr>
              <w:spacing w:after="120" w:line="276"/>
            </w:pPr>
            <w:r>
              <w:rPr>
                <w:b/>
                <w:bCs/>
                <w:color w:val="1F2937"/>
                <w:sz w:val="21"/>
                <w:szCs w:val="21"/>
              </w:rPr>
              <w:t xml:space="preserve">e) </w:t>
            </w:r>
            <w:r>
              <w:rPr>
                <w:color w:val="1F2937"/>
                <w:sz w:val="21"/>
                <w:szCs w:val="21"/>
              </w:rPr>
              <w:t xml:space="preserve">Kosten als expliciete post in de ADR, uitgedrukt in maandelijkse kosten en groeirichting, niet in een eenmalig bedrag. Een keuze die vandaag € 200 per maand kost en per jaar verdubbelt, is een andere keuze dan een van € 400 die vlak blijft.</w:t>
            </w:r>
          </w:p>
        </w:tc>
      </w:tr>
    </w:tbl>
    <w:p>
      <w:pPr>
        <w:spacing w:after="300"/>
      </w:pPr>
    </w:p>
    <w:p>
      <w:pPr>
        <w:pStyle w:val="Heading1"/>
        <w:pBdr>
          <w:bottom w:val="single" w:color="E5E7EB" w:sz="6" w:space="6"/>
        </w:pBdr>
        <w:spacing w:after="180" w:before="380"/>
      </w:pPr>
      <w:r>
        <w:rPr>
          <w:b/>
          <w:bCs/>
          <w:color w:val="1F3A5F"/>
          <w:sz w:val="30"/>
          <w:szCs w:val="30"/>
        </w:rPr>
        <w:t xml:space="preserve">Opdracht 15.10 — Uw eigen systeem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Hoe lang duurt het in uw organisatie van een gereed wijziging tot productie? Waar zit de tijd?</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uw ontwerpregels worden geautomatiseerd getoetst? Welke hangen van oplettendheid af?</w:t>
      </w:r>
    </w:p>
    <w:p>
      <w:pPr>
        <w:pStyle w:val="ListParagraph"/>
        <w:numPr>
          <w:ilvl w:val="0"/>
          <w:numId w:val="2"/>
        </w:numPr>
        <w:spacing w:after="100"/>
      </w:pPr>
      <w:r>
        <w:rPr>
          <w:b/>
          <w:bCs/>
          <w:color w:val="1F2937"/>
          <w:sz w:val="22"/>
          <w:szCs w:val="22"/>
        </w:rPr>
        <w:t xml:space="preserve">c)</w:t>
      </w:r>
      <w:r>
        <w:rPr>
          <w:color w:val="1F2937"/>
          <w:sz w:val="22"/>
          <w:szCs w:val="22"/>
        </w:rPr>
        <w:t xml:space="preserve"> Kunt u een storing volgen over drie systeemdelen? Probeer het met een echte storing uit het verleden.</w:t>
      </w:r>
    </w:p>
    <w:p>
      <w:pPr>
        <w:pStyle w:val="ListParagraph"/>
        <w:numPr>
          <w:ilvl w:val="0"/>
          <w:numId w:val="2"/>
        </w:numPr>
        <w:spacing w:after="100"/>
      </w:pPr>
      <w:r>
        <w:rPr>
          <w:b/>
          <w:bCs/>
          <w:color w:val="1F2937"/>
          <w:sz w:val="22"/>
          <w:szCs w:val="22"/>
        </w:rPr>
        <w:t xml:space="preserve">d)</w:t>
      </w:r>
      <w:r>
        <w:rPr>
          <w:color w:val="1F2937"/>
          <w:sz w:val="22"/>
          <w:szCs w:val="22"/>
        </w:rPr>
        <w:t xml:space="preserve"> Heeft uw organisatie dienstniveaudoelen? Zo ja, worden ze gebruikt bij beslissingen of alleen gerapporteerd?</w:t>
      </w:r>
    </w:p>
    <w:p>
      <w:pPr>
        <w:pStyle w:val="ListParagraph"/>
        <w:numPr>
          <w:ilvl w:val="0"/>
          <w:numId w:val="2"/>
        </w:numPr>
        <w:spacing w:after="100"/>
      </w:pPr>
      <w:r>
        <w:rPr>
          <w:b/>
          <w:bCs/>
          <w:color w:val="1F2937"/>
          <w:sz w:val="22"/>
          <w:szCs w:val="22"/>
        </w:rPr>
        <w:t xml:space="preserve">e)</w:t>
      </w:r>
      <w:r>
        <w:rPr>
          <w:color w:val="1F2937"/>
          <w:sz w:val="22"/>
          <w:szCs w:val="22"/>
        </w:rPr>
        <w:t xml:space="preserve"> Kent u de maandelijkse infrastructuurkosten van uw eigen systeem? Zo nee: wie wel?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15.10</w:t>
            </w:r>
          </w:p>
          <w:p>
            <w:pPr>
              <w:spacing w:after="80"/>
            </w:pPr>
          </w:p>
          <w:p>
            <w:pPr>
              <w:spacing w:after="120" w:line="276"/>
            </w:pPr>
            <w:r>
              <w:rPr>
                <w:color w:val="1F2937"/>
                <w:sz w:val="21"/>
                <w:szCs w:val="21"/>
              </w:rPr>
              <w:t xml:space="preserve">Individueel. Bij a) is de doorlooptijd van gereed tot productie in veel organisaties dagen tot weken, waarbij het merendeel wachttijd is en geen bewerkingstijd — vrijgaveoverleg, testomgeving beschikbaar, uitrolvenster.</w:t>
            </w:r>
          </w:p>
          <w:p>
            <w:pPr>
              <w:spacing w:after="120" w:line="276"/>
            </w:pPr>
            <w:r>
              <w:rPr>
                <w:color w:val="1F2937"/>
                <w:sz w:val="21"/>
                <w:szCs w:val="21"/>
              </w:rPr>
              <w:t xml:space="preserve">Bij d) is het gebruikelijke antwoord dat er wel dienstniveauafspraken zijn maar dat zij worden gerapporteerd en niet gebruikt. Een dienstniveaudoel dat geen beslissing beïnvloedt, is een rapportagepost — en dat is precies het verschil dat dit deel wil maken.</w:t>
            </w:r>
          </w:p>
        </w:tc>
      </w:tr>
    </w:tbl>
    <w:p>
      <w:pPr>
        <w:pBdr>
          <w:top w:val="single" w:color="E5E7EB" w:sz="4" w:space="8"/>
        </w:pBdr>
        <w:spacing w:before="400"/>
        <w:jc w:val="center"/>
      </w:pPr>
      <w:r>
        <w:rPr>
          <w:i/>
          <w:iCs/>
          <w:color w:val="6B7280"/>
          <w:sz w:val="17"/>
          <w:szCs w:val="17"/>
        </w:rPr>
        <w:t xml:space="preserve">Ductus B.V. · Cursus Softwarearchitectuur · Niveau 2, deel 15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2026-08-17T14:09:51.244Z</dcterms:created>
  <dcterms:modified xsi:type="dcterms:W3CDTF">2026-08-17T14:09:51.246Z</dcterms:modified>
</cp:coreProperties>
</file>

<file path=docProps/custom.xml><?xml version="1.0" encoding="utf-8"?>
<Properties xmlns="http://schemas.openxmlformats.org/officeDocument/2006/custom-properties" xmlns:vt="http://schemas.openxmlformats.org/officeDocument/2006/docPropsVTypes"/>
</file>