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16 — Securityarchitectuur</w:t>
      </w:r>
    </w:p>
    <w:p>
      <w:pPr>
        <w:spacing w:after="200"/>
      </w:pPr>
      <w:r>
        <w:rPr>
          <w:b/>
          <w:bCs/>
          <w:color w:val="4A6789"/>
          <w:sz w:val="26"/>
          <w:szCs w:val="26"/>
        </w:rPr>
        <w:t xml:space="preserve">Docentenhandleiding</w:t>
      </w:r>
    </w:p>
    <w:p>
      <w:pPr>
        <w:spacing w:after="400"/>
      </w:pPr>
      <w:r>
        <w:rPr>
          <w:color w:val="6B7280"/>
          <w:sz w:val="20"/>
          <w:szCs w:val="20"/>
        </w:rPr>
        <w:t xml:space="preserve">Cursus Softwarearchitectuur · Niveau 2 (CPSA-A) · Deel 16 van 28</w:t>
      </w:r>
    </w:p>
    <w:p>
      <w:pPr>
        <w:pStyle w:val="Heading1"/>
        <w:pBdr>
          <w:bottom w:val="single" w:color="E5E7EB" w:sz="6" w:space="6"/>
        </w:pBdr>
        <w:spacing w:after="180" w:before="380"/>
      </w:pPr>
      <w:r>
        <w:rPr>
          <w:b/>
          <w:bCs/>
          <w:color w:val="1F3A5F"/>
          <w:sz w:val="30"/>
          <w:szCs w:val="30"/>
        </w:rPr>
        <w:t xml:space="preserve">1. Positie van dit deel</w:t>
      </w:r>
    </w:p>
    <w:p>
      <w:pPr>
        <w:spacing w:after="160" w:line="276"/>
      </w:pPr>
      <w:r>
        <w:rPr>
          <w:color w:val="1F2937"/>
          <w:sz w:val="22"/>
          <w:szCs w:val="22"/>
        </w:rPr>
        <w:t xml:space="preserve">Dit deel heeft een afbakening die u actief moet bewaken. Security is een vakgebied met eigen specialisten, en een architectuurcursus die doet alsof zij dat vakgebied dekt, doet twee dingen fout: zij overschat wat de deelnemers na een dagdeel kunnen, en zij ondermijnt de rol van de mensen die dit wél voor hun werk doen.</w:t>
      </w:r>
    </w:p>
    <w:p>
      <w:pPr>
        <w:spacing w:after="160" w:line="276"/>
      </w:pPr>
      <w:r>
        <w:rPr>
          <w:b/>
          <w:bCs/>
          <w:color w:val="1F2937"/>
          <w:sz w:val="22"/>
          <w:szCs w:val="22"/>
        </w:rPr>
        <w:t xml:space="preserve">Wat wij behandelen: </w:t>
      </w:r>
      <w:r>
        <w:rPr>
          <w:color w:val="1F2937"/>
          <w:sz w:val="22"/>
          <w:szCs w:val="22"/>
        </w:rPr>
        <w:t xml:space="preserve">waar de vertrouwensgrenzen liggen, wat er op een grens hoort te gebeuren, waar authenticatie, autorisatie en functiescheiding thuishoren, en welke vragen bij welke partij horen.</w:t>
      </w:r>
    </w:p>
    <w:p>
      <w:pPr>
        <w:spacing w:after="160" w:line="276"/>
      </w:pPr>
      <w:r>
        <w:rPr>
          <w:b/>
          <w:bCs/>
          <w:color w:val="1F2937"/>
          <w:sz w:val="22"/>
          <w:szCs w:val="22"/>
        </w:rPr>
        <w:t xml:space="preserve">Wat wij niet behandelen: </w:t>
      </w:r>
      <w:r>
        <w:rPr>
          <w:color w:val="1F2937"/>
          <w:sz w:val="22"/>
          <w:szCs w:val="22"/>
        </w:rPr>
        <w:t xml:space="preserve">aanvalstechnieken, cryptografische keuzes op detailniveau, penetratietesten. Slide 2 zegt het; herhaal het zodra de zaal die kant op gaat, want dat gebeurt.</w:t>
      </w:r>
    </w:p>
    <w:p>
      <w:pPr>
        <w:spacing w:after="160" w:line="276"/>
      </w:pPr>
      <w:r>
        <w:rPr>
          <w:b/>
          <w:bCs/>
          <w:color w:val="1F2937"/>
          <w:sz w:val="22"/>
          <w:szCs w:val="22"/>
        </w:rPr>
        <w:t xml:space="preserve">Twee dingen maken dit deel waardevol.</w:t>
      </w:r>
      <w:r>
        <w:rPr>
          <w:color w:val="1F2937"/>
          <w:sz w:val="22"/>
          <w:szCs w:val="22"/>
        </w:rPr>
        <w:t xml:space="preserve"/>
      </w:r>
    </w:p>
    <w:p>
      <w:pPr>
        <w:pStyle w:val="ListParagraph"/>
        <w:numPr>
          <w:ilvl w:val="0"/>
          <w:numId w:val="2"/>
        </w:numPr>
        <w:spacing w:after="120"/>
      </w:pPr>
      <w:r>
        <w:rPr>
          <w:b/>
          <w:bCs/>
          <w:color w:val="1F2937"/>
          <w:sz w:val="22"/>
          <w:szCs w:val="22"/>
        </w:rPr>
        <w:t xml:space="preserve">Het lost een openstaande eis op.</w:t>
      </w:r>
      <w:r>
        <w:rPr>
          <w:color w:val="1F2937"/>
          <w:sz w:val="22"/>
          <w:szCs w:val="22"/>
        </w:rPr>
        <w:t xml:space="preserve"> De zorg van de security officer staat sinds deel 2 van niveau 1 op de lijst en is in deel 6 en 8 benoemd zonder te worden uitgewerkt. Vandaag wordt zij een regel in een aggregaat. Deelnemers ervaren daar dat het doorvragen uit deel 2 zestien delen later nog werk doet.</w:t>
      </w:r>
    </w:p>
    <w:p>
      <w:pPr>
        <w:pStyle w:val="ListParagraph"/>
        <w:numPr>
          <w:ilvl w:val="0"/>
          <w:numId w:val="2"/>
        </w:numPr>
        <w:spacing w:after="120"/>
      </w:pPr>
      <w:r>
        <w:rPr>
          <w:b/>
          <w:bCs/>
          <w:color w:val="1F2937"/>
          <w:sz w:val="22"/>
          <w:szCs w:val="22"/>
        </w:rPr>
        <w:t xml:space="preserve">Het maakt zichtbaar dat elke eerdere beslissing een grens heeft toegevoegd.</w:t>
      </w:r>
      <w:r>
        <w:rPr>
          <w:color w:val="1F2937"/>
          <w:sz w:val="22"/>
          <w:szCs w:val="22"/>
        </w:rPr>
        <w:t xml:space="preserve"> Splitsing (13), gedeelde opslag en uitrolstraat (15) — geen ervan is met security in gedachten genomen. Dat is normaal, en het is precies waarom dreigingsmodellering een terugkerende activiteit is.</w:t>
      </w:r>
    </w:p>
    <w:p>
      <w:pPr>
        <w:pStyle w:val="Heading1"/>
        <w:pBdr>
          <w:bottom w:val="single" w:color="E5E7EB" w:sz="6" w:space="6"/>
        </w:pBdr>
        <w:spacing w:after="180" w:before="380"/>
      </w:pPr>
      <w:r>
        <w:rPr>
          <w:b/>
          <w:bCs/>
          <w:color w:val="1F3A5F"/>
          <w:sz w:val="30"/>
          <w:szCs w:val="30"/>
        </w:rPr>
        <w:t xml:space="preserve">2. Dagdeelplanning (4 uur, twee pauzes)</w:t>
      </w:r>
    </w:p>
    <w:tbl>
      <w:tblPr>
        <w:tblW w:type="dxa" w:w="96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500"/>
        <w:gridCol w:w="4300"/>
        <w:gridCol w:w="2300"/>
        <w:gridCol w:w="1538"/>
      </w:tblGrid>
      <w:tr>
        <w:trPr>
          <w:tblHeader/>
        </w:trPr>
        <w:tc>
          <w:tcPr>
            <w:tcW w:type="dxa" w:w="1500"/>
            <w:shd w:fill="1F3A5F" w:val="clear"/>
            <w:tcMar>
              <w:top w:type="dxa" w:w="100"/>
              <w:left w:type="dxa" w:w="120"/>
              <w:bottom w:type="dxa" w:w="100"/>
              <w:right w:type="dxa" w:w="120"/>
            </w:tcMar>
            <w:vAlign w:val="center"/>
          </w:tcPr>
          <w:p>
            <w:r>
              <w:rPr>
                <w:b/>
                <w:bCs/>
                <w:color w:val="FFFFFF"/>
                <w:sz w:val="19"/>
                <w:szCs w:val="19"/>
              </w:rPr>
              <w:t xml:space="preserve">Tijd</w:t>
            </w:r>
          </w:p>
        </w:tc>
        <w:tc>
          <w:tcPr>
            <w:tcW w:type="dxa" w:w="4300"/>
            <w:shd w:fill="1F3A5F" w:val="clear"/>
            <w:tcMar>
              <w:top w:type="dxa" w:w="100"/>
              <w:left w:type="dxa" w:w="120"/>
              <w:bottom w:type="dxa" w:w="100"/>
              <w:right w:type="dxa" w:w="120"/>
            </w:tcMar>
            <w:vAlign w:val="center"/>
          </w:tcPr>
          <w:p>
            <w:r>
              <w:rPr>
                <w:b/>
                <w:bCs/>
                <w:color w:val="FFFFFF"/>
                <w:sz w:val="19"/>
                <w:szCs w:val="19"/>
              </w:rPr>
              <w:t xml:space="preserve">Onderdeel</w:t>
            </w:r>
          </w:p>
        </w:tc>
        <w:tc>
          <w:tcPr>
            <w:tcW w:type="dxa" w:w="2300"/>
            <w:shd w:fill="1F3A5F" w:val="clear"/>
            <w:tcMar>
              <w:top w:type="dxa" w:w="100"/>
              <w:left w:type="dxa" w:w="120"/>
              <w:bottom w:type="dxa" w:w="100"/>
              <w:right w:type="dxa" w:w="120"/>
            </w:tcMar>
            <w:vAlign w:val="center"/>
          </w:tcPr>
          <w:p>
            <w:r>
              <w:rPr>
                <w:b/>
                <w:bCs/>
                <w:color w:val="FFFFFF"/>
                <w:sz w:val="19"/>
                <w:szCs w:val="19"/>
              </w:rPr>
              <w:t xml:space="preserve">Vorm</w:t>
            </w:r>
          </w:p>
        </w:tc>
        <w:tc>
          <w:tcPr>
            <w:tcW w:type="dxa" w:w="1538"/>
            <w:shd w:fill="1F3A5F" w:val="clear"/>
            <w:tcMar>
              <w:top w:type="dxa" w:w="100"/>
              <w:left w:type="dxa" w:w="120"/>
              <w:bottom w:type="dxa" w:w="100"/>
              <w:right w:type="dxa" w:w="120"/>
            </w:tcMar>
            <w:vAlign w:val="center"/>
          </w:tcPr>
          <w:p>
            <w:r>
              <w:rPr>
                <w:b/>
                <w:bCs/>
                <w:color w:val="FFFFFF"/>
                <w:sz w:val="19"/>
                <w:szCs w:val="19"/>
              </w:rPr>
              <w:t xml:space="preserve">Slides</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0:00–0:10</w:t>
            </w:r>
          </w:p>
        </w:tc>
        <w:tc>
          <w:tcPr>
            <w:tcW w:type="dxa" w:w="4300"/>
            <w:tcMar>
              <w:top w:type="dxa" w:w="100"/>
              <w:left w:type="dxa" w:w="120"/>
              <w:bottom w:type="dxa" w:w="100"/>
              <w:right w:type="dxa" w:w="120"/>
            </w:tcMar>
            <w:vAlign w:val="center"/>
          </w:tcPr>
          <w:p>
            <w:r>
              <w:rPr>
                <w:b w:val="false"/>
                <w:bCs w:val="false"/>
                <w:color w:val="1F2937"/>
                <w:sz w:val="19"/>
                <w:szCs w:val="19"/>
              </w:rPr>
              <w:t xml:space="preserve">Afbakening; de drie gevolgen van deel 15; de openstaande eis</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0:10–0:30</w:t>
            </w:r>
          </w:p>
        </w:tc>
        <w:tc>
          <w:tcPr>
            <w:tcW w:type="dxa" w:w="4300"/>
            <w:tcMar>
              <w:top w:type="dxa" w:w="100"/>
              <w:left w:type="dxa" w:w="120"/>
              <w:bottom w:type="dxa" w:w="100"/>
              <w:right w:type="dxa" w:w="120"/>
            </w:tcMar>
            <w:vAlign w:val="center"/>
          </w:tcPr>
          <w:p>
            <w:r>
              <w:rPr>
                <w:b w:val="false"/>
                <w:bCs w:val="false"/>
                <w:color w:val="1F2937"/>
                <w:sz w:val="19"/>
                <w:szCs w:val="19"/>
              </w:rPr>
              <w:t xml:space="preserve">Dreigingsmodellering: opzet en categorieën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5–9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0:30–0:45</w:t>
            </w:r>
          </w:p>
        </w:tc>
        <w:tc>
          <w:tcPr>
            <w:tcW w:type="dxa" w:w="4300"/>
            <w:tcMar>
              <w:top w:type="dxa" w:w="100"/>
              <w:left w:type="dxa" w:w="120"/>
              <w:bottom w:type="dxa" w:w="100"/>
              <w:right w:type="dxa" w:w="120"/>
            </w:tcMar>
            <w:vAlign w:val="center"/>
          </w:tcPr>
          <w:p>
            <w:r>
              <w:rPr>
                <w:b w:val="false"/>
                <w:bCs w:val="false"/>
                <w:color w:val="1F2937"/>
                <w:sz w:val="19"/>
                <w:szCs w:val="19"/>
              </w:rPr>
              <w:t xml:space="preserve">Vertrouwensgrenzen</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10–12</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0:45–1:15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16.1 — grenzen tekenen</w:t>
            </w:r>
          </w:p>
        </w:tc>
        <w:tc>
          <w:tcPr>
            <w:tcW w:type="dxa" w:w="2300"/>
            <w:tcMar>
              <w:top w:type="dxa" w:w="100"/>
              <w:left w:type="dxa" w:w="120"/>
              <w:bottom w:type="dxa" w:w="100"/>
              <w:right w:type="dxa" w:w="120"/>
            </w:tcMar>
            <w:vAlign w:val="center"/>
          </w:tcPr>
          <w:p>
            <w:r>
              <w:rPr>
                <w:b w:val="false"/>
                <w:bCs w:val="false"/>
                <w:color w:val="1F2937"/>
                <w:sz w:val="19"/>
                <w:szCs w:val="19"/>
              </w:rPr>
              <w:t xml:space="preserve">groepen van vier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13–14</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1:15–1:25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1:25–2:25</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16.2 — de dreigingsmodelleringssessie</w:t>
            </w:r>
          </w:p>
        </w:tc>
        <w:tc>
          <w:tcPr>
            <w:tcW w:type="dxa" w:w="2300"/>
            <w:tcMar>
              <w:top w:type="dxa" w:w="100"/>
              <w:left w:type="dxa" w:w="120"/>
              <w:bottom w:type="dxa" w:w="100"/>
              <w:right w:type="dxa" w:w="120"/>
            </w:tcMar>
            <w:vAlign w:val="center"/>
          </w:tcPr>
          <w:p>
            <w:r>
              <w:rPr>
                <w:b w:val="false"/>
                <w:bCs w:val="false"/>
                <w:color w:val="1F2937"/>
                <w:sz w:val="19"/>
                <w:szCs w:val="19"/>
              </w:rPr>
              <w:t xml:space="preserve">hele groep</w:t>
            </w:r>
          </w:p>
        </w:tc>
        <w:tc>
          <w:tcPr>
            <w:tcW w:type="dxa" w:w="1538"/>
            <w:tcMar>
              <w:top w:type="dxa" w:w="100"/>
              <w:left w:type="dxa" w:w="120"/>
              <w:bottom w:type="dxa" w:w="100"/>
              <w:right w:type="dxa" w:w="120"/>
            </w:tcMar>
            <w:vAlign w:val="center"/>
          </w:tcPr>
          <w:p>
            <w:r>
              <w:rPr>
                <w:b w:val="false"/>
                <w:bCs w:val="false"/>
                <w:color w:val="1F2937"/>
                <w:sz w:val="19"/>
                <w:szCs w:val="19"/>
              </w:rPr>
              <w:t xml:space="preserve">15</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2:25–2:35</w:t>
            </w:r>
          </w:p>
        </w:tc>
        <w:tc>
          <w:tcPr>
            <w:tcW w:type="dxa" w:w="4300"/>
            <w:tcMar>
              <w:top w:type="dxa" w:w="100"/>
              <w:left w:type="dxa" w:w="120"/>
              <w:bottom w:type="dxa" w:w="100"/>
              <w:right w:type="dxa" w:w="120"/>
            </w:tcMar>
            <w:vAlign w:val="center"/>
          </w:tcPr>
          <w:p>
            <w:r>
              <w:rPr>
                <w:b w:val="false"/>
                <w:bCs w:val="false"/>
                <w:color w:val="1F2937"/>
                <w:sz w:val="19"/>
                <w:szCs w:val="19"/>
              </w:rPr>
              <w:t xml:space="preserve">Pauze</w:t>
            </w:r>
          </w:p>
        </w:tc>
        <w:tc>
          <w:tcPr>
            <w:tcW w:type="dxa" w:w="2300"/>
            <w:tcMar>
              <w:top w:type="dxa" w:w="100"/>
              <w:left w:type="dxa" w:w="120"/>
              <w:bottom w:type="dxa" w:w="100"/>
              <w:right w:type="dxa" w:w="120"/>
            </w:tcMar>
            <w:vAlign w:val="center"/>
          </w:tcPr>
          <w:p>
            <w:r>
              <w:rPr>
                <w:b w:val="false"/>
                <w:bCs w:val="false"/>
                <w:color w:val="1F2937"/>
                <w:sz w:val="19"/>
                <w:szCs w:val="19"/>
              </w:rPr>
              <w:t xml:space="preserve"/>
            </w:r>
          </w:p>
        </w:tc>
        <w:tc>
          <w:tcPr>
            <w:tcW w:type="dxa" w:w="1538"/>
            <w:tcMar>
              <w:top w:type="dxa" w:w="100"/>
              <w:left w:type="dxa" w:w="120"/>
              <w:bottom w:type="dxa" w:w="100"/>
              <w:right w:type="dxa" w:w="120"/>
            </w:tcMar>
            <w:vAlign w:val="center"/>
          </w:tcPr>
          <w:p>
            <w:r>
              <w:rPr>
                <w:b w:val="false"/>
                <w:bCs w:val="false"/>
                <w:color w:val="1F2937"/>
                <w:sz w:val="19"/>
                <w:szCs w:val="19"/>
              </w:rPr>
              <w:t xml:space="preserve"/>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2:35–2:55</w:t>
            </w:r>
          </w:p>
        </w:tc>
        <w:tc>
          <w:tcPr>
            <w:tcW w:type="dxa" w:w="4300"/>
            <w:tcMar>
              <w:top w:type="dxa" w:w="100"/>
              <w:left w:type="dxa" w:w="120"/>
              <w:bottom w:type="dxa" w:w="100"/>
              <w:right w:type="dxa" w:w="120"/>
            </w:tcMar>
            <w:vAlign w:val="center"/>
          </w:tcPr>
          <w:p>
            <w:r>
              <w:rPr>
                <w:b w:val="false"/>
                <w:bCs w:val="false"/>
                <w:color w:val="1F2937"/>
                <w:sz w:val="19"/>
                <w:szCs w:val="19"/>
              </w:rPr>
              <w:t xml:space="preserve">De drie lagen; functiescheiding</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16–20</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2:55–3:30</w:t>
            </w:r>
          </w:p>
        </w:tc>
        <w:tc>
          <w:tcPr>
            <w:tcW w:type="dxa" w:w="4300"/>
            <w:tcMar>
              <w:top w:type="dxa" w:w="100"/>
              <w:left w:type="dxa" w:w="120"/>
              <w:bottom w:type="dxa" w:w="100"/>
              <w:right w:type="dxa" w:w="120"/>
            </w:tcMar>
            <w:vAlign w:val="center"/>
          </w:tcPr>
          <w:p>
            <w:r>
              <w:rPr>
                <w:b w:val="false"/>
                <w:bCs w:val="false"/>
                <w:color w:val="1F2937"/>
                <w:sz w:val="19"/>
                <w:szCs w:val="19"/>
              </w:rPr>
              <w:t xml:space="preserve">Opdracht 16.3 — functiescheiding ontwerpen</w:t>
            </w:r>
          </w:p>
        </w:tc>
        <w:tc>
          <w:tcPr>
            <w:tcW w:type="dxa" w:w="2300"/>
            <w:tcMar>
              <w:top w:type="dxa" w:w="100"/>
              <w:left w:type="dxa" w:w="120"/>
              <w:bottom w:type="dxa" w:w="100"/>
              <w:right w:type="dxa" w:w="120"/>
            </w:tcMar>
            <w:vAlign w:val="center"/>
          </w:tcPr>
          <w:p>
            <w:r>
              <w:rPr>
                <w:b w:val="false"/>
                <w:bCs w:val="false"/>
                <w:color w:val="1F2937"/>
                <w:sz w:val="19"/>
                <w:szCs w:val="19"/>
              </w:rPr>
              <w:t xml:space="preserve">duo's + 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21</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3:30–3:45</w:t>
            </w:r>
          </w:p>
        </w:tc>
        <w:tc>
          <w:tcPr>
            <w:tcW w:type="dxa" w:w="4300"/>
            <w:tcMar>
              <w:top w:type="dxa" w:w="100"/>
              <w:left w:type="dxa" w:w="120"/>
              <w:bottom w:type="dxa" w:w="100"/>
              <w:right w:type="dxa" w:w="120"/>
            </w:tcMar>
            <w:vAlign w:val="center"/>
          </w:tcPr>
          <w:p>
            <w:r>
              <w:rPr>
                <w:b w:val="false"/>
                <w:bCs w:val="false"/>
                <w:color w:val="1F2937"/>
                <w:sz w:val="19"/>
                <w:szCs w:val="19"/>
              </w:rPr>
              <w:t xml:space="preserve">Gegevens beschermen; toeleveringsketen en straat</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22–24, 26–29</w:t>
            </w:r>
          </w:p>
        </w:tc>
      </w:tr>
      <w:tr>
        <w:trPr>
          <w:cantSplit/>
        </w:trPr>
        <w:tc>
          <w:tcPr>
            <w:tcW w:type="dxa" w:w="1500"/>
            <w:tcMar>
              <w:top w:type="dxa" w:w="100"/>
              <w:left w:type="dxa" w:w="120"/>
              <w:bottom w:type="dxa" w:w="100"/>
              <w:right w:type="dxa" w:w="120"/>
            </w:tcMar>
            <w:vAlign w:val="center"/>
          </w:tcPr>
          <w:p>
            <w:r>
              <w:rPr>
                <w:b w:val="false"/>
                <w:bCs w:val="false"/>
                <w:color w:val="1F2937"/>
                <w:sz w:val="19"/>
                <w:szCs w:val="19"/>
              </w:rPr>
              <w:t xml:space="preserve">3:45–4:00</w:t>
            </w:r>
          </w:p>
        </w:tc>
        <w:tc>
          <w:tcPr>
            <w:tcW w:type="dxa" w:w="4300"/>
            <w:tcMar>
              <w:top w:type="dxa" w:w="100"/>
              <w:left w:type="dxa" w:w="120"/>
              <w:bottom w:type="dxa" w:w="100"/>
              <w:right w:type="dxa" w:w="120"/>
            </w:tcMar>
            <w:vAlign w:val="center"/>
          </w:tcPr>
          <w:p>
            <w:r>
              <w:rPr>
                <w:b w:val="false"/>
                <w:bCs w:val="false"/>
                <w:color w:val="1F2937"/>
                <w:sz w:val="19"/>
                <w:szCs w:val="19"/>
              </w:rPr>
              <w:t xml:space="preserve">Beveiliging tegen bruikbaarheid; huiswerk</w:t>
            </w:r>
          </w:p>
        </w:tc>
        <w:tc>
          <w:tcPr>
            <w:tcW w:type="dxa" w:w="2300"/>
            <w:tcMar>
              <w:top w:type="dxa" w:w="100"/>
              <w:left w:type="dxa" w:w="120"/>
              <w:bottom w:type="dxa" w:w="100"/>
              <w:right w:type="dxa" w:w="120"/>
            </w:tcMar>
            <w:vAlign w:val="center"/>
          </w:tcPr>
          <w:p>
            <w:r>
              <w:rPr>
                <w:b w:val="false"/>
                <w:bCs w:val="false"/>
                <w:color w:val="1F2937"/>
                <w:sz w:val="19"/>
                <w:szCs w:val="19"/>
              </w:rPr>
              <w:t xml:space="preserve">plenair</w:t>
            </w:r>
          </w:p>
        </w:tc>
        <w:tc>
          <w:tcPr>
            <w:tcW w:type="dxa" w:w="1538"/>
            <w:tcMar>
              <w:top w:type="dxa" w:w="100"/>
              <w:left w:type="dxa" w:w="120"/>
              <w:bottom w:type="dxa" w:w="100"/>
              <w:right w:type="dxa" w:w="120"/>
            </w:tcMar>
            <w:vAlign w:val="center"/>
          </w:tcPr>
          <w:p>
            <w:r>
              <w:rPr>
                <w:b w:val="false"/>
                <w:bCs w:val="false"/>
                <w:color w:val="1F2937"/>
                <w:sz w:val="19"/>
                <w:szCs w:val="19"/>
              </w:rPr>
              <w:t xml:space="preserve">30</w:t>
            </w:r>
          </w:p>
        </w:tc>
      </w:tr>
    </w:tbl>
    <w:p>
      <w:pPr>
        <w:spacing w:after="300"/>
      </w:pPr>
    </w:p>
    <w:p>
      <w:pPr>
        <w:spacing w:after="160" w:line="276"/>
      </w:pPr>
      <w:r>
        <w:rPr>
          <w:b/>
          <w:bCs/>
          <w:color w:val="1F2937"/>
          <w:sz w:val="22"/>
          <w:szCs w:val="22"/>
        </w:rPr>
        <w:t xml:space="preserve">Opdracht 16.4 (logregels), 16.5 (uitrolstraat), 16.6 (de afweging voorleggen) en 16.7 (vier voorvallen) staan niet in de planning.</w:t>
      </w:r>
      <w:r>
        <w:rPr>
          <w:color w:val="1F2937"/>
          <w:sz w:val="22"/>
          <w:szCs w:val="22"/>
        </w:rPr>
        <w:t xml:space="preserve"> Keuzes:</w:t>
      </w:r>
    </w:p>
    <w:p>
      <w:pPr>
        <w:pStyle w:val="ListParagraph"/>
        <w:numPr>
          <w:ilvl w:val="0"/>
          <w:numId w:val="3"/>
        </w:numPr>
        <w:spacing w:after="100"/>
      </w:pPr>
      <w:r>
        <w:rPr>
          <w:b/>
          <w:bCs/>
          <w:color w:val="1F2937"/>
          <w:sz w:val="22"/>
          <w:szCs w:val="22"/>
        </w:rPr>
        <w:t xml:space="preserve">Doe 16.4 in plaats van een deel van 16.2</w:t>
      </w:r>
      <w:r>
        <w:rPr>
          <w:color w:val="1F2937"/>
          <w:sz w:val="22"/>
          <w:szCs w:val="22"/>
        </w:rPr>
        <w:t xml:space="preserve"> bij groepen die vooral bouwen; het is de opdracht met het hoogste directe rendement in hun eigen systeem.</w:t>
      </w:r>
    </w:p>
    <w:p>
      <w:pPr>
        <w:pStyle w:val="ListParagraph"/>
        <w:numPr>
          <w:ilvl w:val="0"/>
          <w:numId w:val="3"/>
        </w:numPr>
        <w:spacing w:after="100"/>
      </w:pPr>
      <w:r>
        <w:rPr>
          <w:b/>
          <w:bCs/>
          <w:color w:val="1F2937"/>
          <w:sz w:val="22"/>
          <w:szCs w:val="22"/>
        </w:rPr>
        <w:t xml:space="preserve">Doe 16.6 in plaats van 16.3</w:t>
      </w:r>
      <w:r>
        <w:rPr>
          <w:color w:val="1F2937"/>
          <w:sz w:val="22"/>
          <w:szCs w:val="22"/>
        </w:rPr>
        <w:t xml:space="preserve"> bij groepen uit adviesrollen; onderdeel d) ("wat zou u doen?") is de beste voorbereiding op niveau 3 die dit deel bevat.</w:t>
      </w:r>
    </w:p>
    <w:p>
      <w:pPr>
        <w:pStyle w:val="ListParagraph"/>
        <w:numPr>
          <w:ilvl w:val="0"/>
          <w:numId w:val="3"/>
        </w:numPr>
        <w:spacing w:after="100"/>
      </w:pPr>
      <w:r>
        <w:rPr>
          <w:b/>
          <w:bCs/>
          <w:color w:val="1F2937"/>
          <w:sz w:val="22"/>
          <w:szCs w:val="22"/>
        </w:rPr>
        <w:t xml:space="preserve">Doe 16.5</w:t>
      </w:r>
      <w:r>
        <w:rPr>
          <w:color w:val="1F2937"/>
          <w:sz w:val="22"/>
          <w:szCs w:val="22"/>
        </w:rPr>
        <w:t xml:space="preserve"> wanneer de groep een eigen uitrolstraat beheert; de bevinding bij c) — de groep met toegang tot de straat is ruimer dan die met toegang tot productie — is vaak direct toepasbaar.</w:t>
      </w:r>
    </w:p>
    <w:p>
      <w:pPr>
        <w:pStyle w:val="ListParagraph"/>
        <w:numPr>
          <w:ilvl w:val="0"/>
          <w:numId w:val="3"/>
        </w:numPr>
        <w:spacing w:after="100"/>
      </w:pPr>
      <w:r>
        <w:rPr>
          <w:b/>
          <w:bCs/>
          <w:color w:val="1F2937"/>
          <w:sz w:val="22"/>
          <w:szCs w:val="22"/>
        </w:rPr>
        <w:t xml:space="preserve">Bij 4,5 uur:</w:t>
      </w:r>
      <w:r>
        <w:rPr>
          <w:color w:val="1F2937"/>
          <w:sz w:val="22"/>
          <w:szCs w:val="22"/>
        </w:rPr>
        <w:t xml:space="preserve"> voeg 16.4 toe; die past er het makkelijkst bij.</w:t>
      </w:r>
    </w:p>
    <w:p>
      <w:pPr>
        <w:spacing w:after="160" w:line="276"/>
      </w:pPr>
      <w:r>
        <w:rPr>
          <w:b/>
          <w:bCs/>
          <w:color w:val="1F2937"/>
          <w:sz w:val="22"/>
          <w:szCs w:val="22"/>
        </w:rPr>
        <w:t xml:space="preserve">Wat u nooit inkort: </w:t>
      </w:r>
      <w:r>
        <w:rPr>
          <w:color w:val="1F2937"/>
          <w:sz w:val="22"/>
          <w:szCs w:val="22"/>
        </w:rPr>
        <w:t xml:space="preserve">opdracht 16.2. Een dreigingsmodelleringssessie meemaken is de enige manier om te leren hoe zij verloopt.</w:t>
      </w:r>
    </w:p>
    <w:p>
      <w:pPr>
        <w:pStyle w:val="Heading1"/>
        <w:pBdr>
          <w:bottom w:val="single" w:color="E5E7EB" w:sz="6" w:space="6"/>
        </w:pBdr>
        <w:spacing w:after="180" w:before="380"/>
      </w:pPr>
      <w:r>
        <w:rPr>
          <w:b/>
          <w:bCs/>
          <w:color w:val="1F3A5F"/>
          <w:sz w:val="30"/>
          <w:szCs w:val="30"/>
        </w:rPr>
        <w:t xml:space="preserve">3. Per onderdeel: aanpak, valkuilen, sturing</w:t>
      </w:r>
    </w:p>
    <w:p>
      <w:pPr>
        <w:pStyle w:val="Heading2"/>
        <w:spacing w:after="140" w:before="260"/>
      </w:pPr>
      <w:r>
        <w:rPr>
          <w:b/>
          <w:bCs/>
          <w:color w:val="4A6789"/>
          <w:sz w:val="24"/>
          <w:szCs w:val="24"/>
        </w:rPr>
        <w:t xml:space="preserve">3.1 Opening (slides 2–4)</w:t>
      </w:r>
    </w:p>
    <w:p>
      <w:pPr>
        <w:spacing w:after="160" w:line="276"/>
      </w:pPr>
      <w:r>
        <w:rPr>
          <w:b/>
          <w:bCs/>
          <w:color w:val="1F2937"/>
          <w:sz w:val="22"/>
          <w:szCs w:val="22"/>
        </w:rPr>
        <w:t xml:space="preserve">Begin met de afbakening.</w:t>
      </w:r>
      <w:r>
        <w:rPr>
          <w:color w:val="1F2937"/>
          <w:sz w:val="22"/>
          <w:szCs w:val="22"/>
        </w:rPr>
        <w:t xml:space="preserve"> Deelnemers verwachten óf een technisch securityverhaal óf een compliancepraatje; beide verwachtingen moet u vroeg corrigeren.</w:t>
      </w:r>
    </w:p>
    <w:p>
      <w:pPr>
        <w:spacing w:after="160" w:line="276"/>
      </w:pPr>
      <w:r>
        <w:rPr>
          <w:b/>
          <w:bCs/>
          <w:color w:val="1F2937"/>
          <w:sz w:val="22"/>
          <w:szCs w:val="22"/>
        </w:rPr>
        <w:t xml:space="preserve">Slide 4 is het moment dat het dagdeel opent.</w:t>
      </w:r>
      <w:r>
        <w:rPr>
          <w:color w:val="1F2937"/>
          <w:sz w:val="22"/>
          <w:szCs w:val="22"/>
        </w:rPr>
        <w:t xml:space="preserve"> Het citaat uit deel 2 van niveau 1 is zestien delen oud en de groep herkent het. Zeg erbij: dit is het derde deel waarin deze zorg terugkomt, en vandaag wordt zij een regel.</w:t>
      </w:r>
    </w:p>
    <w:p>
      <w:pPr>
        <w:pStyle w:val="Heading2"/>
        <w:spacing w:after="140" w:before="260"/>
      </w:pPr>
      <w:r>
        <w:rPr>
          <w:b/>
          <w:bCs/>
          <w:color w:val="4A6789"/>
          <w:sz w:val="24"/>
          <w:szCs w:val="24"/>
        </w:rPr>
        <w:t xml:space="preserve">3.2 Dreigingsmodellering (slides 5–9)</w:t>
      </w:r>
    </w:p>
    <w:p>
      <w:pPr>
        <w:spacing w:after="160" w:line="276"/>
      </w:pPr>
      <w:r>
        <w:rPr>
          <w:b/>
          <w:bCs/>
          <w:color w:val="1F2937"/>
          <w:sz w:val="22"/>
          <w:szCs w:val="22"/>
        </w:rPr>
        <w:t xml:space="preserve">Houd de categorieën kort </w:t>
      </w:r>
      <w:r>
        <w:rPr>
          <w:color w:val="1F2937"/>
          <w:sz w:val="22"/>
          <w:szCs w:val="22"/>
        </w:rPr>
        <w:t xml:space="preserve">— vijf minuten. Zij zijn een hulpmiddel, geen leerstof.</w:t>
      </w:r>
    </w:p>
    <w:p>
      <w:pPr>
        <w:spacing w:after="160" w:line="276"/>
      </w:pPr>
      <w:r>
        <w:rPr>
          <w:b/>
          <w:bCs/>
          <w:color w:val="1F2937"/>
          <w:sz w:val="22"/>
          <w:szCs w:val="22"/>
        </w:rPr>
        <w:t xml:space="preserve">Slide 8 (ontkenning) verdient nadruk, </w:t>
      </w:r>
      <w:r>
        <w:rPr>
          <w:color w:val="1F2937"/>
          <w:sz w:val="22"/>
          <w:szCs w:val="22"/>
        </w:rPr>
        <w:t xml:space="preserve">want die categorie wordt het vaakst gemist. Teams zien onweerlegbaarheid als auditvraag en niet als securityvraag. De formulering die aankomt: QS-4 is niet alleen een reconstructie-eis maar een onweerlegbaarheidsmaatregel, en een audittrail die de applicatie kan wijzigen bewijst niets.</w:t>
      </w:r>
    </w:p>
    <w:p>
      <w:pPr>
        <w:spacing w:after="160" w:line="276"/>
      </w:pPr>
      <w:r>
        <w:rPr>
          <w:b/>
          <w:bCs/>
          <w:color w:val="1F2937"/>
          <w:sz w:val="22"/>
          <w:szCs w:val="22"/>
        </w:rPr>
        <w:t xml:space="preserve">Slide 9 is de framing van de hele werkvorm: </w:t>
      </w:r>
      <w:r>
        <w:rPr>
          <w:color w:val="1F2937"/>
          <w:sz w:val="22"/>
          <w:szCs w:val="22"/>
        </w:rPr>
        <w:t xml:space="preserve">geen lijst kwetsbaarheden, maar een lijst plekken waar uw ontwerp een aanname doet over vertrouwen die niet is afgedwongen. Dat is wat het architectuurwerk maakt en wat het onderscheidt van een securityonderzoek.</w:t>
      </w:r>
    </w:p>
    <w:p>
      <w:pPr>
        <w:pStyle w:val="Heading2"/>
        <w:spacing w:after="140" w:before="260"/>
      </w:pPr>
      <w:r>
        <w:rPr>
          <w:b/>
          <w:bCs/>
          <w:color w:val="4A6789"/>
          <w:sz w:val="24"/>
          <w:szCs w:val="24"/>
        </w:rPr>
        <w:t xml:space="preserve">3.3 Vertrouwensgrenzen en opdracht 16.1 (slides 10–14)</w:t>
      </w:r>
    </w:p>
    <w:p>
      <w:pPr>
        <w:spacing w:after="160" w:line="276"/>
      </w:pPr>
      <w:r>
        <w:rPr>
          <w:b/>
          <w:bCs/>
          <w:color w:val="1F2937"/>
          <w:sz w:val="22"/>
          <w:szCs w:val="22"/>
        </w:rPr>
        <w:t xml:space="preserve">Slide 12 is de belangrijkste ontwerpuitspraak van het deel.</w:t>
      </w:r>
      <w:r>
        <w:rPr>
          <w:color w:val="1F2937"/>
          <w:sz w:val="22"/>
          <w:szCs w:val="22"/>
        </w:rPr>
        <w:t xml:space="preserve"> Verwacht weerstand: "alles binnen ons netwerk is toch vertrouwd" is een gangbare aanname.</w:t>
      </w:r>
    </w:p>
    <w:p>
      <w:pPr>
        <w:spacing w:after="160" w:line="276"/>
      </w:pPr>
      <w:r>
        <w:rPr>
          <w:color w:val="1F2937"/>
          <w:sz w:val="22"/>
          <w:szCs w:val="22"/>
        </w:rPr>
        <w:t xml:space="preserve">Het argument dat werkt is niet abstract maar concreet: de conversiedienst heeft toegang tot 60.000 deelnemersdossiers en tot de doorgifte naar de kernadministratie. Wie via een willekeurige component binnenkomt, kan zich vrij bewegen.</w:t>
      </w:r>
    </w:p>
    <w:p>
      <w:pPr>
        <w:spacing w:after="160" w:line="276"/>
      </w:pPr>
      <w:r>
        <w:rPr>
          <w:color w:val="1F2937"/>
          <w:sz w:val="22"/>
          <w:szCs w:val="22"/>
        </w:rPr>
        <w:t xml:space="preserve">Voeg het onherstelbaarheidsargument toe: interne authenticatie achteraf invoegen raakt elke aanroeper, en dat is de reden dat de keuze nu wordt gemaakt en niet later.</w:t>
      </w:r>
    </w:p>
    <w:p>
      <w:pPr>
        <w:spacing w:after="160" w:line="276"/>
      </w:pPr>
      <w:r>
        <w:rPr>
          <w:b/>
          <w:bCs/>
          <w:color w:val="1F2937"/>
          <w:sz w:val="22"/>
          <w:szCs w:val="22"/>
        </w:rPr>
        <w:t xml:space="preserve">Opdracht 16.1, plenair bij c) en e).</w:t>
      </w:r>
      <w:r>
        <w:rPr>
          <w:color w:val="1F2937"/>
          <w:sz w:val="22"/>
          <w:szCs w:val="22"/>
        </w:rPr>
        <w:t xml:space="preserve"> De drie grenzen waar niets gebeurt zijn de modulith-conversiegrens, de uitrolstraat, en — de minst gevonden — de gedeelde opslag voor bijlagen. Die laatste bevat scheidingsdocumenten met relatiegegevens.</w:t>
      </w:r>
    </w:p>
    <w:p>
      <w:pPr>
        <w:spacing w:after="160" w:line="276"/>
      </w:pPr>
      <w:r>
        <w:rPr>
          <w:b/>
          <w:bCs/>
          <w:color w:val="1F2937"/>
          <w:sz w:val="22"/>
          <w:szCs w:val="22"/>
        </w:rPr>
        <w:t xml:space="preserve">Slide 14 is de conclusie die u zelf trekt als de groep dat niet doet: </w:t>
      </w:r>
      <w:r>
        <w:rPr>
          <w:color w:val="1F2937"/>
          <w:sz w:val="22"/>
          <w:szCs w:val="22"/>
        </w:rPr>
        <w:t xml:space="preserve">elke architectuurbeslissing uit de vorige delen voegde een grens toe, en geen ervan is met security genomen. Dat is geen verwijt maar de rechtvaardiging voor terugkerende modellering.</w:t>
      </w:r>
    </w:p>
    <w:p>
      <w:pPr>
        <w:pStyle w:val="Heading2"/>
        <w:spacing w:after="140" w:before="260"/>
      </w:pPr>
      <w:r>
        <w:rPr>
          <w:b/>
          <w:bCs/>
          <w:color w:val="4A6789"/>
          <w:sz w:val="24"/>
          <w:szCs w:val="24"/>
        </w:rPr>
        <w:t xml:space="preserve">3.4 De sessie — opdracht 16.2 (60 minuten)</w:t>
      </w:r>
    </w:p>
    <w:p>
      <w:pPr>
        <w:spacing w:after="160" w:line="276"/>
      </w:pPr>
      <w:r>
        <w:rPr>
          <w:b/>
          <w:bCs/>
          <w:color w:val="1F2937"/>
          <w:sz w:val="22"/>
          <w:szCs w:val="22"/>
        </w:rPr>
        <w:t xml:space="preserve">Dit is het zwaartepunt.</w:t>
      </w:r>
      <w:r>
        <w:rPr>
          <w:color w:val="1F2937"/>
          <w:sz w:val="22"/>
          <w:szCs w:val="22"/>
        </w:rPr>
        <w:t xml:space="preserve"/>
      </w:r>
    </w:p>
    <w:p>
      <w:pPr>
        <w:spacing w:after="160" w:line="276"/>
      </w:pPr>
      <w:r>
        <w:rPr>
          <w:b/>
          <w:bCs/>
          <w:color w:val="1F2937"/>
          <w:sz w:val="22"/>
          <w:szCs w:val="22"/>
        </w:rPr>
        <w:t xml:space="preserve">Uw rol is procesbewaker.</w:t>
      </w:r>
      <w:r>
        <w:rPr>
          <w:color w:val="1F2937"/>
          <w:sz w:val="22"/>
          <w:szCs w:val="22"/>
        </w:rPr>
        <w:t xml:space="preserve"> Twee regels handhaven:</w:t>
      </w:r>
    </w:p>
    <w:p>
      <w:pPr>
        <w:pStyle w:val="ListParagraph"/>
        <w:numPr>
          <w:ilvl w:val="0"/>
          <w:numId w:val="4"/>
        </w:numPr>
        <w:spacing w:after="120"/>
      </w:pPr>
      <w:r>
        <w:rPr>
          <w:b/>
          <w:bCs/>
          <w:color w:val="1F2937"/>
          <w:sz w:val="22"/>
          <w:szCs w:val="22"/>
        </w:rPr>
        <w:t xml:space="preserve">Niemand weerlegt tijdens het verzamelen.</w:t>
      </w:r>
      <w:r>
        <w:rPr>
          <w:color w:val="1F2937"/>
          <w:sz w:val="22"/>
          <w:szCs w:val="22"/>
        </w:rPr>
        <w:t xml:space="preserve"> Weerleggen komt in stap 3. Zonder deze regel stopt de groep na tien minuten met aandragen, want de eerste drie dreigingen worden weggewuifd.</w:t>
      </w:r>
    </w:p>
    <w:p>
      <w:pPr>
        <w:pStyle w:val="ListParagraph"/>
        <w:numPr>
          <w:ilvl w:val="0"/>
          <w:numId w:val="4"/>
        </w:numPr>
        <w:spacing w:after="120"/>
      </w:pPr>
      <w:r>
        <w:rPr>
          <w:b/>
          <w:bCs/>
          <w:color w:val="1F2937"/>
          <w:sz w:val="22"/>
          <w:szCs w:val="22"/>
        </w:rPr>
        <w:t xml:space="preserve">"Dat kan niet want firewall" is een aanname, geen weerlegging.</w:t>
      </w:r>
      <w:r>
        <w:rPr>
          <w:color w:val="1F2937"/>
          <w:sz w:val="22"/>
          <w:szCs w:val="22"/>
        </w:rPr>
        <w:t xml:space="preserve"> Schrijf hem op als aanname. Dit is dezelfde behandeling als in deel 2 van niveau 1: wat niet is vastgesteld, is een aanname hoe stellig het ook wordt gebracht.</w:t>
      </w:r>
    </w:p>
    <w:p>
      <w:pPr>
        <w:spacing w:after="160" w:line="276"/>
      </w:pPr>
      <w:r>
        <w:rPr>
          <w:b/>
          <w:bCs/>
          <w:color w:val="1F2937"/>
          <w:sz w:val="22"/>
          <w:szCs w:val="22"/>
        </w:rPr>
        <w:t xml:space="preserve">Bewaak stap 4.</w:t>
      </w:r>
      <w:r>
        <w:rPr>
          <w:color w:val="1F2937"/>
          <w:sz w:val="22"/>
          <w:szCs w:val="22"/>
        </w:rPr>
        <w:t xml:space="preserve"> Groepen willen na 45 minuten stoppen met een lijst. Zonder eigenaar en termijn is dat een gesprek geweest — dezelfde les als bij de evaluatie in deel 9.</w:t>
      </w:r>
    </w:p>
    <w:p>
      <w:pPr>
        <w:spacing w:after="160" w:line="276"/>
      </w:pPr>
      <w:r>
        <w:rPr>
          <w:b/>
          <w:bCs/>
          <w:color w:val="1F2937"/>
          <w:sz w:val="22"/>
          <w:szCs w:val="22"/>
        </w:rPr>
        <w:t xml:space="preserve">Twee dreigingen die groepen vinden en die niet in de reader staan, </w:t>
      </w:r>
      <w:r>
        <w:rPr>
          <w:color w:val="1F2937"/>
          <w:sz w:val="22"/>
          <w:szCs w:val="22"/>
        </w:rPr>
        <w:t xml:space="preserve">en die u moet uitlichten als zij komen:</w:t>
      </w:r>
    </w:p>
    <w:p>
      <w:pPr>
        <w:pStyle w:val="ListParagraph"/>
        <w:numPr>
          <w:ilvl w:val="0"/>
          <w:numId w:val="3"/>
        </w:numPr>
        <w:spacing w:after="100"/>
      </w:pPr>
      <w:r>
        <w:rPr>
          <w:b/>
          <w:bCs/>
          <w:color w:val="1F2937"/>
          <w:sz w:val="22"/>
          <w:szCs w:val="22"/>
        </w:rPr>
        <w:t xml:space="preserve">Een werkgever vult met één batch het hele nachtvenster</w:t>
      </w:r>
      <w:r>
        <w:rPr>
          <w:color w:val="1F2937"/>
          <w:sz w:val="22"/>
          <w:szCs w:val="22"/>
        </w:rPr>
        <w:t xml:space="preserve"> — geen kwaadwilligheid nodig, een fout in hun systeem volstaat. Dit koppelt aan de begrenzingsmaatregel uit 16.3.</w:t>
      </w:r>
    </w:p>
    <w:p>
      <w:pPr>
        <w:pStyle w:val="ListParagraph"/>
        <w:numPr>
          <w:ilvl w:val="0"/>
          <w:numId w:val="3"/>
        </w:numPr>
        <w:spacing w:after="100"/>
      </w:pPr>
      <w:r>
        <w:rPr>
          <w:b/>
          <w:bCs/>
          <w:color w:val="1F2937"/>
          <w:sz w:val="22"/>
          <w:szCs w:val="22"/>
        </w:rPr>
        <w:t xml:space="preserve">Het statusoverzicht toont bij een scheidingsmutatie gegevens van de ex-partner aan de inloggende deelnemer.</w:t>
      </w:r>
      <w:r>
        <w:rPr>
          <w:color w:val="1F2937"/>
          <w:sz w:val="22"/>
          <w:szCs w:val="22"/>
        </w:rPr>
        <w:t xml:space="preserve"> Dit is scherp en het is een echte ontwerpvraag: bij een scheiding zijn er twee betrokkenen met verschillende inzagerechten op hetzelfde dossier. Dat is de vierde bounded context uit deel 11 die hier een concreet probleem oplevert.</w:t>
      </w:r>
    </w:p>
    <w:p>
      <w:pPr>
        <w:spacing w:after="160" w:line="276"/>
      </w:pPr>
      <w:r>
        <w:rPr>
          <w:color w:val="1F2937"/>
          <w:sz w:val="22"/>
          <w:szCs w:val="22"/>
        </w:rPr>
        <w:t xml:space="preserve">Komt de tweede niet boven, breng hem dan zelf in.</w:t>
      </w:r>
    </w:p>
    <w:p>
      <w:pPr>
        <w:pStyle w:val="Heading2"/>
        <w:spacing w:after="140" w:before="260"/>
      </w:pPr>
      <w:r>
        <w:rPr>
          <w:b/>
          <w:bCs/>
          <w:color w:val="4A6789"/>
          <w:sz w:val="24"/>
          <w:szCs w:val="24"/>
        </w:rPr>
        <w:t xml:space="preserve">3.5 De drie lagen en functiescheiding (slides 16–21)</w:t>
      </w:r>
    </w:p>
    <w:p>
      <w:pPr>
        <w:spacing w:after="160" w:line="276"/>
      </w:pPr>
      <w:r>
        <w:rPr>
          <w:b/>
          <w:bCs/>
          <w:color w:val="1F2937"/>
          <w:sz w:val="22"/>
          <w:szCs w:val="22"/>
        </w:rPr>
        <w:t xml:space="preserve">Slide 18 is de kern: </w:t>
      </w:r>
      <w:r>
        <w:rPr>
          <w:color w:val="1F2937"/>
          <w:sz w:val="22"/>
          <w:szCs w:val="22"/>
        </w:rPr>
        <w:t xml:space="preserve">functiescheiding is fundamenteel anders omdat zij de dossierhistorie vraagt.</w:t>
      </w:r>
    </w:p>
    <w:p>
      <w:pPr>
        <w:spacing w:after="160" w:line="276"/>
      </w:pPr>
      <w:r>
        <w:rPr>
          <w:b/>
          <w:bCs/>
          <w:color w:val="1F2937"/>
          <w:sz w:val="22"/>
          <w:szCs w:val="22"/>
        </w:rPr>
        <w:t xml:space="preserve">Slide 20 is de rolverdeling en zij is het belangrijkst.</w:t>
      </w:r>
      <w:r>
        <w:rPr>
          <w:color w:val="1F2937"/>
          <w:sz w:val="22"/>
          <w:szCs w:val="22"/>
        </w:rPr>
        <w:t xml:space="preserve"> Geen van de drie ontwerpvragen is technisch. Deelnemers die er een beantwoorden met "de architect bepaalt dat", trekken een besluit naar zich toe.</w:t>
      </w:r>
    </w:p>
    <w:p>
      <w:pPr>
        <w:spacing w:after="160" w:line="276"/>
      </w:pPr>
      <w:r>
        <w:rPr>
          <w:color w:val="1F2937"/>
          <w:sz w:val="22"/>
          <w:szCs w:val="22"/>
        </w:rPr>
        <w:t xml:space="preserve">Dit is het derde deel waarin dit patroon terugkomt (deel 14 verwijderrecht, deel 15 dienstniveaudoelen, nu functiescheiding). Benoem dat het een patroon is — het is de rode draad naar niveau 3.</w:t>
      </w:r>
    </w:p>
    <w:p>
      <w:pPr>
        <w:spacing w:after="160" w:line="276"/>
      </w:pPr>
      <w:r>
        <w:rPr>
          <w:b/>
          <w:bCs/>
          <w:color w:val="1F2937"/>
          <w:sz w:val="22"/>
          <w:szCs w:val="22"/>
        </w:rPr>
        <w:t xml:space="preserve">Opdracht 16.3, twee interventies:</w:t>
      </w:r>
      <w:r>
        <w:rPr>
          <w:color w:val="1F2937"/>
          <w:sz w:val="22"/>
          <w:szCs w:val="22"/>
        </w:rPr>
        <w:t xml:space="preserve"/>
      </w:r>
    </w:p>
    <w:p>
      <w:pPr>
        <w:pStyle w:val="ListParagraph"/>
        <w:numPr>
          <w:ilvl w:val="0"/>
          <w:numId w:val="5"/>
        </w:numPr>
        <w:spacing w:after="120"/>
      </w:pPr>
      <w:r>
        <w:rPr>
          <w:b/>
          <w:bCs/>
          <w:color w:val="1F2937"/>
          <w:sz w:val="22"/>
          <w:szCs w:val="22"/>
        </w:rPr>
        <w:t xml:space="preserve">De regel wordt te smal geformuleerd </w:t>
      </w:r>
      <w:r>
        <w:rPr>
          <w:color w:val="1F2937"/>
          <w:sz w:val="22"/>
          <w:szCs w:val="22"/>
        </w:rPr>
        <w:t xml:space="preserve">("de indiener mag niet goedkeuren"). De zorg ging over twee verschillende mutaties op dezelfde deelnemer.</w:t>
      </w:r>
    </w:p>
    <w:p>
      <w:pPr>
        <w:pStyle w:val="ListParagraph"/>
        <w:numPr>
          <w:ilvl w:val="0"/>
          <w:numId w:val="5"/>
        </w:numPr>
        <w:spacing w:after="120"/>
      </w:pPr>
      <w:r>
        <w:rPr>
          <w:b/>
          <w:bCs/>
          <w:color w:val="1F2937"/>
          <w:sz w:val="22"/>
          <w:szCs w:val="22"/>
        </w:rPr>
        <w:t xml:space="preserve">Onderdeel e) wordt oppervlakkig beantwoord.</w:t>
      </w:r>
      <w:r>
        <w:rPr>
          <w:color w:val="1F2937"/>
          <w:sz w:val="22"/>
          <w:szCs w:val="22"/>
        </w:rPr>
        <w:t xml:space="preserve"> Een generiek product dwingt rollen en rechten af, niet een regel die van dossierhistorie afhangt. Voor de pakketkeuze betekent dat splitsen — en dat is de fout die in deel 11 al werd voorspeld.</w:t>
      </w:r>
    </w:p>
    <w:p>
      <w:pPr>
        <w:pStyle w:val="Heading2"/>
        <w:spacing w:after="140" w:before="260"/>
      </w:pPr>
      <w:r>
        <w:rPr>
          <w:b/>
          <w:bCs/>
          <w:color w:val="4A6789"/>
          <w:sz w:val="24"/>
          <w:szCs w:val="24"/>
        </w:rPr>
        <w:t xml:space="preserve">3.6 Gegevens, keten en straat (slides 22–29)</w:t>
      </w:r>
    </w:p>
    <w:p>
      <w:pPr>
        <w:spacing w:after="160" w:line="276"/>
      </w:pPr>
      <w:r>
        <w:rPr>
          <w:b/>
          <w:bCs/>
          <w:color w:val="1F2937"/>
          <w:sz w:val="22"/>
          <w:szCs w:val="22"/>
        </w:rPr>
        <w:t xml:space="preserve">Snel tempo, drie punten.</w:t>
      </w:r>
      <w:r>
        <w:rPr>
          <w:color w:val="1F2937"/>
          <w:sz w:val="22"/>
          <w:szCs w:val="22"/>
        </w:rPr>
        <w:t xml:space="preserve"/>
      </w:r>
    </w:p>
    <w:p>
      <w:pPr>
        <w:spacing w:after="160" w:line="276"/>
      </w:pPr>
      <w:r>
        <w:rPr>
          <w:b/>
          <w:bCs/>
          <w:color w:val="1F2937"/>
          <w:sz w:val="22"/>
          <w:szCs w:val="22"/>
        </w:rPr>
        <w:t xml:space="preserve">Slide 23: </w:t>
      </w:r>
      <w:r>
        <w:rPr>
          <w:color w:val="1F2937"/>
          <w:sz w:val="22"/>
          <w:szCs w:val="22"/>
        </w:rPr>
        <w:t xml:space="preserve">de effectiefste maatregel is gegevens niet hebben. De stempelkoppeling uit deel 3 was behalve een ontwerpfout ook een privacyprobleem — twee onafhankelijke redenen voor dezelfde correctie.</w:t>
      </w:r>
    </w:p>
    <w:p>
      <w:pPr>
        <w:spacing w:after="160" w:line="276"/>
      </w:pPr>
      <w:r>
        <w:rPr>
          <w:b/>
          <w:bCs/>
          <w:color w:val="1F2937"/>
          <w:sz w:val="22"/>
          <w:szCs w:val="22"/>
        </w:rPr>
        <w:t xml:space="preserve">Slide 24: </w:t>
      </w:r>
      <w:r>
        <w:rPr>
          <w:color w:val="1F2937"/>
          <w:sz w:val="22"/>
          <w:szCs w:val="22"/>
        </w:rPr>
        <w:t xml:space="preserve">de drie plekken waar persoonsgegevens ongemerkt terechtkomen staan geen van drieën op een architectuurplaat. Dat is precies waarom ze worden gemist.</w:t>
      </w:r>
    </w:p>
    <w:p>
      <w:pPr>
        <w:spacing w:after="160" w:line="276"/>
      </w:pPr>
      <w:r>
        <w:rPr>
          <w:b/>
          <w:bCs/>
          <w:color w:val="1F2937"/>
          <w:sz w:val="22"/>
          <w:szCs w:val="22"/>
        </w:rPr>
        <w:t xml:space="preserve">Slide 28–29: </w:t>
      </w:r>
      <w:r>
        <w:rPr>
          <w:color w:val="1F2937"/>
          <w:sz w:val="22"/>
          <w:szCs w:val="22"/>
        </w:rPr>
        <w:t xml:space="preserve">uitrolsnelheid als securityeigenschap, en functiescheiding in de straat. Beide zijn argumenten die deelnemers in hun eigen organisatie kunnen gebruiken, en beide worden zelden zo geformuleerd.</w:t>
      </w:r>
    </w:p>
    <w:p>
      <w:pPr>
        <w:spacing w:after="160" w:line="276"/>
      </w:pPr>
      <w:r>
        <w:rPr>
          <w:color w:val="1F2937"/>
          <w:sz w:val="22"/>
          <w:szCs w:val="22"/>
        </w:rPr>
        <w:t xml:space="preserve">Als u opdracht 16.5 doet, is bevinding c) — de groep met toegang tot de straat is ruimer dan die met toegang tot productie — vaak een directe actie voor de deelnemer.</w:t>
      </w:r>
    </w:p>
    <w:p>
      <w:pPr>
        <w:pStyle w:val="Heading2"/>
        <w:spacing w:after="140" w:before="260"/>
      </w:pPr>
      <w:r>
        <w:rPr>
          <w:b/>
          <w:bCs/>
          <w:color w:val="4A6789"/>
          <w:sz w:val="24"/>
          <w:szCs w:val="24"/>
        </w:rPr>
        <w:t xml:space="preserve">3.7 Beveiliging tegen bruikbaarheid (slide 30)</w:t>
      </w:r>
    </w:p>
    <w:p>
      <w:pPr>
        <w:spacing w:after="160" w:line="276"/>
      </w:pPr>
      <w:r>
        <w:rPr>
          <w:b/>
          <w:bCs/>
          <w:color w:val="1F2937"/>
          <w:sz w:val="22"/>
          <w:szCs w:val="22"/>
        </w:rPr>
        <w:t xml:space="preserve">Sluit hiermee af, ook als u opdracht 16.6 niet doet.</w:t>
      </w:r>
      <w:r>
        <w:rPr>
          <w:color w:val="1F2937"/>
          <w:sz w:val="22"/>
          <w:szCs w:val="22"/>
        </w:rPr>
        <w:t xml:space="preserve"/>
      </w:r>
    </w:p>
    <w:p>
      <w:pPr>
        <w:spacing w:after="160" w:line="276"/>
      </w:pPr>
      <w:r>
        <w:rPr>
          <w:color w:val="1F2937"/>
          <w:sz w:val="22"/>
          <w:szCs w:val="22"/>
        </w:rPr>
        <w:t xml:space="preserve">Twee punten die moeten vallen:</w:t>
      </w:r>
    </w:p>
    <w:p>
      <w:pPr>
        <w:pStyle w:val="ListParagraph"/>
        <w:numPr>
          <w:ilvl w:val="0"/>
          <w:numId w:val="6"/>
        </w:numPr>
        <w:spacing w:after="120"/>
      </w:pPr>
      <w:r>
        <w:rPr>
          <w:b/>
          <w:bCs/>
          <w:color w:val="1F2937"/>
          <w:sz w:val="22"/>
          <w:szCs w:val="22"/>
        </w:rPr>
        <w:t xml:space="preserve">Precisieer eerst.</w:t>
      </w:r>
      <w:r>
        <w:rPr>
          <w:color w:val="1F2937"/>
          <w:sz w:val="22"/>
          <w:szCs w:val="22"/>
        </w:rPr>
        <w:t xml:space="preserve"> Functiescheiding betreft medewerkers en raakt QS-5 niet; alleen de zelfbedieningsverificatie botst. Wie de botsing niet preciseert, legt de directie een grotere afweging voor dan er is. Dit is dezelfde les als in deel 6 van niveau 1, nu in de bestuurlijke variant.</w:t>
      </w:r>
    </w:p>
    <w:p>
      <w:pPr>
        <w:pStyle w:val="ListParagraph"/>
        <w:numPr>
          <w:ilvl w:val="0"/>
          <w:numId w:val="6"/>
        </w:numPr>
        <w:spacing w:after="120"/>
      </w:pPr>
      <w:r>
        <w:rPr>
          <w:b/>
          <w:bCs/>
          <w:color w:val="1F2937"/>
          <w:sz w:val="22"/>
          <w:szCs w:val="22"/>
        </w:rPr>
        <w:t xml:space="preserve">Het antwoord op "wat zou u doen?"</w:t>
      </w:r>
      <w:r>
        <w:rPr>
          <w:color w:val="1F2937"/>
          <w:sz w:val="22"/>
          <w:szCs w:val="22"/>
        </w:rPr>
        <w:t xml:space="preserve"> Niet ontwijken, niet overnemen: een aanbeveling geven, de grond benoemen, en zichtbaar maken welke aanname de directeur moet invullen. Dat is de vaardigheid waarop niveau 3 staat.</w:t>
      </w:r>
    </w:p>
    <w:p>
      <w:pPr>
        <w:pStyle w:val="Heading1"/>
        <w:pBdr>
          <w:bottom w:val="single" w:color="E5E7EB" w:sz="6" w:space="6"/>
        </w:pBdr>
        <w:spacing w:after="180" w:before="380"/>
      </w:pPr>
      <w:r>
        <w:rPr>
          <w:b/>
          <w:bCs/>
          <w:color w:val="1F3A5F"/>
          <w:sz w:val="30"/>
          <w:szCs w:val="30"/>
        </w:rPr>
        <w:t xml:space="preserve">4. Omgaan met bijzondere situaties</w:t>
      </w:r>
    </w:p>
    <w:p>
      <w:pPr>
        <w:spacing w:after="160" w:line="276"/>
      </w:pPr>
      <w:r>
        <w:rPr>
          <w:b/>
          <w:bCs/>
          <w:color w:val="1F2937"/>
          <w:sz w:val="22"/>
          <w:szCs w:val="22"/>
        </w:rPr>
        <w:t xml:space="preserve">De securityspecialist in de zaal.</w:t>
      </w:r>
      <w:r>
        <w:rPr>
          <w:color w:val="1F2937"/>
          <w:sz w:val="22"/>
          <w:szCs w:val="22"/>
        </w:rPr>
        <w:t xml:space="preserve"> Vaak aanwezig en potentieel lastig, want dit deel is voor hem oppervlakkig. Gebruik hem: laat hem de dreigingsmodelleringssessie mede leiden en de weerleggingen in stap 3 beoordelen. Zeg vooraf expliciet dat de cursus zijn vakgebied niet dekt en waarom — dat wint hem meestal.</w:t>
      </w:r>
    </w:p>
    <w:p>
      <w:pPr>
        <w:spacing w:after="160" w:line="276"/>
      </w:pPr>
      <w:r>
        <w:rPr>
          <w:b/>
          <w:bCs/>
          <w:color w:val="1F2937"/>
          <w:sz w:val="22"/>
          <w:szCs w:val="22"/>
        </w:rPr>
        <w:t xml:space="preserve">"Dit doet onze securityafdeling."</w:t>
      </w:r>
      <w:r>
        <w:rPr>
          <w:color w:val="1F2937"/>
          <w:sz w:val="22"/>
          <w:szCs w:val="22"/>
        </w:rPr>
        <w:t xml:space="preserve"> Deels waar, en het antwoord is de rolverdeling: zij toetsen, u ontwerpt. Een architect die zijn vertrouwensgrenzen niet kent, levert een ontwerp aan waarop de securityafdeling laat in het traject bevindingen doet — en dat is B5 uit niveau 1 in een ander gewaad.</w:t>
      </w:r>
    </w:p>
    <w:p>
      <w:pPr>
        <w:spacing w:after="160" w:line="276"/>
      </w:pPr>
      <w:r>
        <w:rPr>
          <w:b/>
          <w:bCs/>
          <w:color w:val="1F2937"/>
          <w:sz w:val="22"/>
          <w:szCs w:val="22"/>
        </w:rPr>
        <w:t xml:space="preserve">De discussie over "zero trust".</w:t>
      </w:r>
      <w:r>
        <w:rPr>
          <w:color w:val="1F2937"/>
          <w:sz w:val="22"/>
          <w:szCs w:val="22"/>
        </w:rPr>
        <w:t xml:space="preserve"> Komt gegarandeerd bij slide 12. Het begrip is nuttig en beladen; houd het bij de inhoudelijke uitspraak (elke aanroep bewijst wie hij is) en vermijd het label, want dat trekt productdiscussies aan.</w:t>
      </w:r>
    </w:p>
    <w:p>
      <w:pPr>
        <w:spacing w:after="160" w:line="276"/>
      </w:pPr>
      <w:r>
        <w:rPr>
          <w:b/>
          <w:bCs/>
          <w:color w:val="1F2937"/>
          <w:sz w:val="22"/>
          <w:szCs w:val="22"/>
        </w:rPr>
        <w:t xml:space="preserve">De groep wil over een recent incident in het nieuws praten.</w:t>
      </w:r>
      <w:r>
        <w:rPr>
          <w:color w:val="1F2937"/>
          <w:sz w:val="22"/>
          <w:szCs w:val="22"/>
        </w:rPr>
        <w:t xml:space="preserve"> Geef er vijf minuten aan en breng het terug naar de vraag van dit deel: welke vertrouwensgrens ontbrak, en op welke borgingslaag zat de maatregel die faalde? Dat maakt het leerzaam in plaats van sensationeel.</w:t>
      </w:r>
    </w:p>
    <w:p>
      <w:pPr>
        <w:spacing w:after="160" w:line="276"/>
      </w:pPr>
      <w:r>
        <w:rPr>
          <w:b/>
          <w:bCs/>
          <w:color w:val="1F2937"/>
          <w:sz w:val="22"/>
          <w:szCs w:val="22"/>
        </w:rPr>
        <w:t xml:space="preserve">Iemand vraagt naar cryptografische keuzes.</w:t>
      </w:r>
      <w:r>
        <w:rPr>
          <w:color w:val="1F2937"/>
          <w:sz w:val="22"/>
          <w:szCs w:val="22"/>
        </w:rPr>
        <w:t xml:space="preserve"> Buiten scope, en zeg dat duidelijk: dat is specialistenwerk en een architect die daar op detailniveau over beslist, neemt een risico dat hij niet kan overzien.</w:t>
      </w:r>
    </w:p>
    <w:p>
      <w:pPr>
        <w:pStyle w:val="Heading1"/>
        <w:pBdr>
          <w:bottom w:val="single" w:color="E5E7EB" w:sz="6" w:space="6"/>
        </w:pBdr>
        <w:spacing w:after="180" w:before="380"/>
      </w:pPr>
      <w:r>
        <w:rPr>
          <w:b/>
          <w:bCs/>
          <w:color w:val="1F3A5F"/>
          <w:sz w:val="30"/>
          <w:szCs w:val="30"/>
        </w:rPr>
        <w:t xml:space="preserve">5. Signalen om mee te nemen</w:t>
      </w:r>
    </w:p>
    <w:p>
      <w:pPr>
        <w:pStyle w:val="ListParagraph"/>
        <w:numPr>
          <w:ilvl w:val="0"/>
          <w:numId w:val="7"/>
        </w:numPr>
        <w:spacing w:after="120"/>
      </w:pPr>
      <w:r>
        <w:rPr>
          <w:color w:val="1F2937"/>
          <w:sz w:val="22"/>
          <w:szCs w:val="22"/>
        </w:rPr>
        <w:t xml:space="preserve">Wie behandelt interne aanroepen als vertrouwd? Bouwt een systeem waarin een enkele inbreuk volledige toegang geeft; dit is niet achteraf te repareren.</w:t>
      </w:r>
    </w:p>
    <w:p>
      <w:pPr>
        <w:pStyle w:val="ListParagraph"/>
        <w:numPr>
          <w:ilvl w:val="0"/>
          <w:numId w:val="7"/>
        </w:numPr>
        <w:spacing w:after="120"/>
      </w:pPr>
      <w:r>
        <w:rPr>
          <w:color w:val="1F2937"/>
          <w:sz w:val="22"/>
          <w:szCs w:val="22"/>
        </w:rPr>
        <w:t xml:space="preserve">Wie beantwoordt de drie ontwerpvragen bij 16.3 zelf? Trekt bestuurlijke besluiten naar zich toe — derde keer dat dit signaal terugkomt, en het is bepalend voor niveau 3.</w:t>
      </w:r>
    </w:p>
    <w:p>
      <w:pPr>
        <w:pStyle w:val="ListParagraph"/>
        <w:numPr>
          <w:ilvl w:val="0"/>
          <w:numId w:val="7"/>
        </w:numPr>
        <w:spacing w:after="120"/>
      </w:pPr>
      <w:r>
        <w:rPr>
          <w:color w:val="1F2937"/>
          <w:sz w:val="22"/>
          <w:szCs w:val="22"/>
        </w:rPr>
        <w:t xml:space="preserve">Wie kijkt zijn eigen logs niet na bij 16.8c? Mist de goedkoopste bevinding van het hele niveau.</w:t>
      </w:r>
    </w:p>
    <w:p>
      <w:pPr>
        <w:pStyle w:val="Heading1"/>
        <w:pBdr>
          <w:bottom w:val="single" w:color="E5E7EB" w:sz="6" w:space="6"/>
        </w:pBdr>
        <w:spacing w:after="180" w:before="380"/>
      </w:pPr>
      <w:r>
        <w:rPr>
          <w:b/>
          <w:bCs/>
          <w:color w:val="1F3A5F"/>
          <w:sz w:val="30"/>
          <w:szCs w:val="30"/>
        </w:rPr>
        <w:t xml:space="preserve">6. Benodigdheden</w:t>
      </w:r>
    </w:p>
    <w:p>
      <w:pPr>
        <w:pStyle w:val="ListParagraph"/>
        <w:numPr>
          <w:ilvl w:val="0"/>
          <w:numId w:val="3"/>
        </w:numPr>
        <w:spacing w:after="100"/>
      </w:pPr>
      <w:r>
        <w:rPr>
          <w:color w:val="1F2937"/>
          <w:sz w:val="22"/>
          <w:szCs w:val="22"/>
        </w:rPr>
        <w:t xml:space="preserve">Slidedeck deel 16</w:t>
      </w:r>
    </w:p>
    <w:p>
      <w:pPr>
        <w:pStyle w:val="ListParagraph"/>
        <w:numPr>
          <w:ilvl w:val="0"/>
          <w:numId w:val="3"/>
        </w:numPr>
        <w:spacing w:after="100"/>
      </w:pPr>
      <w:r>
        <w:rPr>
          <w:color w:val="1F2937"/>
          <w:sz w:val="22"/>
          <w:szCs w:val="22"/>
        </w:rPr>
        <w:t xml:space="preserve">Reader en werkboek, per deelnemer</w:t>
      </w:r>
    </w:p>
    <w:p>
      <w:pPr>
        <w:pStyle w:val="ListParagraph"/>
        <w:numPr>
          <w:ilvl w:val="0"/>
          <w:numId w:val="3"/>
        </w:numPr>
        <w:spacing w:after="100"/>
      </w:pPr>
      <w:r>
        <w:rPr>
          <w:color w:val="1F2937"/>
          <w:sz w:val="22"/>
          <w:szCs w:val="22"/>
        </w:rPr>
        <w:t xml:space="preserve">Bijlage AU: C4-niveau 2 en 3 na de splitsing, mét gegevensstromen — groot afgedrukt, want de sessie werkt eromheen</w:t>
      </w:r>
    </w:p>
    <w:p>
      <w:pPr>
        <w:pStyle w:val="ListParagraph"/>
        <w:numPr>
          <w:ilvl w:val="0"/>
          <w:numId w:val="3"/>
        </w:numPr>
        <w:spacing w:after="100"/>
      </w:pPr>
      <w:r>
        <w:rPr>
          <w:color w:val="1F2937"/>
          <w:sz w:val="22"/>
          <w:szCs w:val="22"/>
        </w:rPr>
        <w:t xml:space="preserve">Bijlage AV: het volledige interviewverslag met de security officer</w:t>
      </w:r>
    </w:p>
    <w:p>
      <w:pPr>
        <w:pStyle w:val="ListParagraph"/>
        <w:numPr>
          <w:ilvl w:val="0"/>
          <w:numId w:val="3"/>
        </w:numPr>
        <w:spacing w:after="100"/>
      </w:pPr>
      <w:r>
        <w:rPr>
          <w:color w:val="1F2937"/>
          <w:sz w:val="22"/>
          <w:szCs w:val="22"/>
        </w:rPr>
        <w:t xml:space="preserve">Bijlage AW: 200 logregels uit acceptatie, met de twaalf problematische erin verwerkt</w:t>
      </w:r>
    </w:p>
    <w:p>
      <w:pPr>
        <w:pStyle w:val="ListParagraph"/>
        <w:numPr>
          <w:ilvl w:val="0"/>
          <w:numId w:val="3"/>
        </w:numPr>
        <w:spacing w:after="100"/>
      </w:pPr>
      <w:r>
        <w:rPr>
          <w:color w:val="1F2937"/>
          <w:sz w:val="22"/>
          <w:szCs w:val="22"/>
        </w:rPr>
        <w:t xml:space="preserve">Bijlage AX: het huidige autorisatiemodel</w:t>
      </w:r>
    </w:p>
    <w:p>
      <w:pPr>
        <w:pStyle w:val="ListParagraph"/>
        <w:numPr>
          <w:ilvl w:val="0"/>
          <w:numId w:val="3"/>
        </w:numPr>
        <w:spacing w:after="100"/>
      </w:pPr>
      <w:r>
        <w:rPr>
          <w:color w:val="1F2937"/>
          <w:sz w:val="22"/>
          <w:szCs w:val="22"/>
        </w:rPr>
        <w:t xml:space="preserve">Bijlage AY: vier geanonimiseerde sectorvoorvallen met oorzaak</w:t>
      </w:r>
    </w:p>
    <w:p>
      <w:pPr>
        <w:pStyle w:val="ListParagraph"/>
        <w:numPr>
          <w:ilvl w:val="0"/>
          <w:numId w:val="3"/>
        </w:numPr>
        <w:spacing w:after="100"/>
      </w:pPr>
      <w:r>
        <w:rPr>
          <w:color w:val="1F2937"/>
          <w:sz w:val="22"/>
          <w:szCs w:val="22"/>
        </w:rPr>
        <w:t xml:space="preserve">Plakbriefjes in twee kleuren voor de sessie (dreigingen en aannames apart)</w:t>
      </w:r>
    </w:p>
    <w:p>
      <w:pPr>
        <w:pStyle w:val="ListParagraph"/>
        <w:numPr>
          <w:ilvl w:val="0"/>
          <w:numId w:val="3"/>
        </w:numPr>
        <w:spacing w:after="100"/>
      </w:pPr>
      <w:r>
        <w:rPr>
          <w:color w:val="1F2937"/>
          <w:sz w:val="22"/>
          <w:szCs w:val="22"/>
        </w:rPr>
        <w:t xml:space="preserve">De C4-diagrammen uit deel 7 en de aggregaten uit deel 12</w:t>
      </w:r>
    </w:p>
    <w:p>
      <w:pPr>
        <w:pStyle w:val="Heading1"/>
        <w:pBdr>
          <w:bottom w:val="single" w:color="E5E7EB" w:sz="6" w:space="6"/>
        </w:pBdr>
        <w:spacing w:after="180" w:before="380"/>
      </w:pPr>
      <w:r>
        <w:rPr>
          <w:b/>
          <w:bCs/>
          <w:color w:val="1F3A5F"/>
          <w:sz w:val="30"/>
          <w:szCs w:val="30"/>
        </w:rPr>
        <w:t xml:space="preserve">7. Aansluiting op het volgende deel</w:t>
      </w:r>
    </w:p>
    <w:p>
      <w:pPr>
        <w:spacing w:after="160" w:line="276"/>
      </w:pPr>
      <w:r>
        <w:rPr>
          <w:color w:val="1F2937"/>
          <w:sz w:val="22"/>
          <w:szCs w:val="22"/>
        </w:rPr>
        <w:t xml:space="preserve">Deel 17 behandelt evolutionaire architectuur en fitness functions. De brug: we hebben nu een reeks regels die we willen handhaven — modulegrenzen, afhankelijkheidsrichting, geen klokaanroepen, geen persoonsgegevens in logs, geen aanroep zonder identiteit. Sinds deel 9 weten we dat wat niet geautomatiseerd wordt getoetst, van oplettendheid afhangt. Volgende keer maken we daar een systeem van: hoe u een architectuur ontwerpt die kán veranderen, en hoe u meet of zij nog is wat u bedoelde.</w:t>
      </w:r>
    </w:p>
    <w:p>
      <w:pPr>
        <w:pBdr>
          <w:top w:val="single" w:color="E5E7EB" w:sz="4" w:space="8"/>
        </w:pBdr>
        <w:spacing w:before="400"/>
        <w:jc w:val="center"/>
      </w:pPr>
      <w:r>
        <w:rPr>
          <w:i/>
          <w:iCs/>
          <w:color w:val="6B7280"/>
          <w:sz w:val="17"/>
          <w:szCs w:val="17"/>
        </w:rPr>
        <w:t xml:space="preserve">Ductus B.V. · Cursus Softwarearchitectuur · Niveau 2, deel 16 · Docentenhandleiding</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2, deel 16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abstractNum w:abstractNumId="6" w15:restartNumberingAfterBreak="0">
    <w:multiLevelType w:val="hybridMultilevel"/>
    <w:lvl w:ilvl="0" w15:tentative="1">
      <w:start w:val="1"/>
      <w:numFmt w:val="decimal"/>
      <w:lvlText w:val="%1."/>
      <w:lvlJc w:val="left"/>
      <w:pPr>
        <w:ind w:left="420" w:hanging="260"/>
      </w:pPr>
    </w:lvl>
  </w:abstractNum>
  <w:abstractNum w:abstractNumId="7"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2026-08-17T14:08:00.973Z</dcterms:created>
  <dcterms:modified xsi:type="dcterms:W3CDTF">2026-08-17T14:08:00.975Z</dcterms:modified>
</cp:coreProperties>
</file>

<file path=docProps/custom.xml><?xml version="1.0" encoding="utf-8"?>
<Properties xmlns="http://schemas.openxmlformats.org/officeDocument/2006/custom-properties" xmlns:vt="http://schemas.openxmlformats.org/officeDocument/2006/docPropsVTypes"/>
</file>