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18 — Architectuurevaluatie gevorderd</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2 (CPSA-A) · Deel 18 van 28</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deel sluit het methodische blok van niveau 2 af en het is het laatste deel vóór de communicatieve delen 19 en 20. Het bouwt op deel 9 van niveau 1 en voegt drie dingen toe die op Foundation-niveau niet thuishoorden:</w:t>
      </w:r>
    </w:p>
    <w:p>
      <w:pPr>
        <w:pStyle w:val="ListParagraph"/>
        <w:numPr>
          <w:ilvl w:val="0"/>
          <w:numId w:val="2"/>
        </w:numPr>
        <w:spacing w:after="120"/>
      </w:pPr>
      <w:r>
        <w:rPr>
          <w:b/>
          <w:bCs/>
          <w:color w:val="1F2937"/>
          <w:sz w:val="22"/>
          <w:szCs w:val="22"/>
        </w:rPr>
        <w:t xml:space="preserve">De tweefasige opzet.</w:t>
      </w:r>
      <w:r>
        <w:rPr>
          <w:color w:val="1F2937"/>
          <w:sz w:val="22"/>
          <w:szCs w:val="22"/>
        </w:rPr>
        <w:t xml:space="preserve"> In deel 9 was de evaluatie één sessie met een handvol mensen. Hier leert de deelnemer waarom kerngroep en bredere groep gescheiden moeten worden, en dat is het inzicht waar de hele methode op rust.</w:t>
      </w:r>
    </w:p>
    <w:p>
      <w:pPr>
        <w:pStyle w:val="ListParagraph"/>
        <w:numPr>
          <w:ilvl w:val="0"/>
          <w:numId w:val="2"/>
        </w:numPr>
        <w:spacing w:after="120"/>
      </w:pPr>
      <w:r>
        <w:rPr>
          <w:b/>
          <w:bCs/>
          <w:color w:val="1F2937"/>
          <w:sz w:val="22"/>
          <w:szCs w:val="22"/>
        </w:rPr>
        <w:t xml:space="preserve">Kwantitatieve analyse.</w:t>
      </w:r>
      <w:r>
        <w:rPr>
          <w:color w:val="1F2937"/>
          <w:sz w:val="22"/>
          <w:szCs w:val="22"/>
        </w:rPr>
        <w:t xml:space="preserve"> Wachtrijredenering en beschikbaarheidsrekenwerk maken argumenten die in deel 6 werden beweerd, rekenbaar. De sprong van 6 naar 90 seconden uit niveau 1 krijgt hier eindelijk haar verklaring.</w:t>
      </w:r>
    </w:p>
    <w:p>
      <w:pPr>
        <w:pStyle w:val="ListParagraph"/>
        <w:numPr>
          <w:ilvl w:val="0"/>
          <w:numId w:val="2"/>
        </w:numPr>
        <w:spacing w:after="120"/>
      </w:pPr>
      <w:r>
        <w:rPr>
          <w:b/>
          <w:bCs/>
          <w:color w:val="1F2937"/>
          <w:sz w:val="22"/>
          <w:szCs w:val="22"/>
        </w:rPr>
        <w:t xml:space="preserve">Andermans ontwerp beoordelen.</w:t>
      </w:r>
      <w:r>
        <w:rPr>
          <w:color w:val="1F2937"/>
          <w:sz w:val="22"/>
          <w:szCs w:val="22"/>
        </w:rPr>
        <w:t xml:space="preserve"> Dit komt in de praktijk vaker voor dan het evalueren van het eigen systeem, en het wordt in vrijwel geen enkele opleiding behandeld.</w:t>
      </w:r>
    </w:p>
    <w:p>
      <w:pPr>
        <w:spacing w:after="160" w:line="276"/>
      </w:pPr>
      <w:r>
        <w:rPr>
          <w:b/>
          <w:bCs/>
          <w:color w:val="1F2937"/>
          <w:sz w:val="22"/>
          <w:szCs w:val="22"/>
        </w:rPr>
        <w:t xml:space="preserve">Het inhoudelijke hoogtepunt is de wachtrijredenering.</w:t>
      </w:r>
      <w:r>
        <w:rPr>
          <w:color w:val="1F2937"/>
          <w:sz w:val="22"/>
          <w:szCs w:val="22"/>
        </w:rPr>
        <w:t xml:space="preserve"> Deelnemers die alleen dat meenemen, hebben aan dit dagdeel al meer dan aan menig cursus: het verandert elke capaciteitsdiscussie die zij voeren, en het is met twee zinnen aan een stuurgroep uit te leggen.</w:t>
      </w:r>
    </w:p>
    <w:p>
      <w:pPr>
        <w:spacing w:after="160" w:line="276"/>
      </w:pPr>
      <w:r>
        <w:rPr>
          <w:b/>
          <w:bCs/>
          <w:color w:val="1F2937"/>
          <w:sz w:val="22"/>
          <w:szCs w:val="22"/>
        </w:rPr>
        <w:t xml:space="preserve">Het lastigste is opdracht 18.6e</w:t>
      </w:r>
      <w:r>
        <w:rPr>
          <w:color w:val="1F2937"/>
          <w:sz w:val="22"/>
          <w:szCs w:val="22"/>
        </w:rPr>
        <w:t xml:space="preserve"> — voorkomen dat uw eigen voorkeur uw oordeel over andermans ontwerp kleurt. Dat is een houdingskwestie en zij is met een opdracht maar half te leren; besteed er de plenaire tijd aan die zij verdient.</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300"/>
        <w:gridCol w:w="2300"/>
        <w:gridCol w:w="15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5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0:00–0:10</w:t>
            </w:r>
          </w:p>
        </w:tc>
        <w:tc>
          <w:tcPr>
            <w:tcW w:type="dxa" w:w="4300"/>
            <w:tcMar>
              <w:top w:type="dxa" w:w="100"/>
              <w:left w:type="dxa" w:w="120"/>
              <w:bottom w:type="dxa" w:w="100"/>
              <w:right w:type="dxa" w:w="120"/>
            </w:tcMar>
            <w:vAlign w:val="center"/>
          </w:tcPr>
          <w:p>
            <w:r>
              <w:rPr>
                <w:b w:val="false"/>
                <w:bCs w:val="false"/>
                <w:color w:val="1F2937"/>
                <w:sz w:val="19"/>
                <w:szCs w:val="19"/>
              </w:rPr>
              <w:t xml:space="preserve">De twee evaluaties; de aanleiding</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0:10–0:35</w:t>
            </w:r>
          </w:p>
        </w:tc>
        <w:tc>
          <w:tcPr>
            <w:tcW w:type="dxa" w:w="4300"/>
            <w:tcMar>
              <w:top w:type="dxa" w:w="100"/>
              <w:left w:type="dxa" w:w="120"/>
              <w:bottom w:type="dxa" w:w="100"/>
              <w:right w:type="dxa" w:w="120"/>
            </w:tcMar>
            <w:vAlign w:val="center"/>
          </w:tcPr>
          <w:p>
            <w:r>
              <w:rPr>
                <w:b w:val="false"/>
                <w:bCs w:val="false"/>
                <w:color w:val="1F2937"/>
                <w:sz w:val="19"/>
                <w:szCs w:val="19"/>
              </w:rPr>
              <w:t xml:space="preserve">De volledige ATAM: fasering en rollen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3–8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0:35–0:50</w:t>
            </w:r>
          </w:p>
        </w:tc>
        <w:tc>
          <w:tcPr>
            <w:tcW w:type="dxa" w:w="4300"/>
            <w:tcMar>
              <w:top w:type="dxa" w:w="100"/>
              <w:left w:type="dxa" w:w="120"/>
              <w:bottom w:type="dxa" w:w="100"/>
              <w:right w:type="dxa" w:w="120"/>
            </w:tcMar>
            <w:vAlign w:val="center"/>
          </w:tcPr>
          <w:p>
            <w:r>
              <w:rPr>
                <w:b w:val="false"/>
                <w:bCs w:val="false"/>
                <w:color w:val="1F2937"/>
                <w:sz w:val="19"/>
                <w:szCs w:val="19"/>
              </w:rPr>
              <w:t xml:space="preserve">Schalen; opdracht 18.1 kort</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 + groepen</w:t>
            </w:r>
          </w:p>
        </w:tc>
        <w:tc>
          <w:tcPr>
            <w:tcW w:type="dxa" w:w="1538"/>
            <w:tcMar>
              <w:top w:type="dxa" w:w="100"/>
              <w:left w:type="dxa" w:w="120"/>
              <w:bottom w:type="dxa" w:w="100"/>
              <w:right w:type="dxa" w:w="120"/>
            </w:tcMar>
            <w:vAlign w:val="center"/>
          </w:tcPr>
          <w:p>
            <w:r>
              <w:rPr>
                <w:b w:val="false"/>
                <w:bCs w:val="false"/>
                <w:color w:val="1F2937"/>
                <w:sz w:val="19"/>
                <w:szCs w:val="19"/>
              </w:rPr>
              <w:t xml:space="preserve">9–11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0:50–1:00</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1:00–2:30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18.2 — de tweefasige sessie</w:t>
            </w:r>
          </w:p>
        </w:tc>
        <w:tc>
          <w:tcPr>
            <w:tcW w:type="dxa" w:w="2300"/>
            <w:tcMar>
              <w:top w:type="dxa" w:w="100"/>
              <w:left w:type="dxa" w:w="120"/>
              <w:bottom w:type="dxa" w:w="100"/>
              <w:right w:type="dxa" w:w="120"/>
            </w:tcMar>
            <w:vAlign w:val="center"/>
          </w:tcPr>
          <w:p>
            <w:r>
              <w:rPr>
                <w:b w:val="false"/>
                <w:bCs w:val="false"/>
                <w:color w:val="1F2937"/>
                <w:sz w:val="19"/>
                <w:szCs w:val="19"/>
              </w:rPr>
              <w:t xml:space="preserve">hele groep</w:t>
            </w:r>
          </w:p>
        </w:tc>
        <w:tc>
          <w:tcPr>
            <w:tcW w:type="dxa" w:w="1538"/>
            <w:tcMar>
              <w:top w:type="dxa" w:w="100"/>
              <w:left w:type="dxa" w:w="120"/>
              <w:bottom w:type="dxa" w:w="100"/>
              <w:right w:type="dxa" w:w="120"/>
            </w:tcMar>
            <w:vAlign w:val="center"/>
          </w:tcPr>
          <w:p>
            <w:r>
              <w:rPr>
                <w:b w:val="false"/>
                <w:bCs w:val="false"/>
                <w:color w:val="1F2937"/>
                <w:sz w:val="19"/>
                <w:szCs w:val="19"/>
              </w:rPr>
              <w:t xml:space="preserve">12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2:30–2:40</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2:40–3:00</w:t>
            </w:r>
          </w:p>
        </w:tc>
        <w:tc>
          <w:tcPr>
            <w:tcW w:type="dxa" w:w="4300"/>
            <w:tcMar>
              <w:top w:type="dxa" w:w="100"/>
              <w:left w:type="dxa" w:w="120"/>
              <w:bottom w:type="dxa" w:w="100"/>
              <w:right w:type="dxa" w:w="120"/>
            </w:tcMar>
            <w:vAlign w:val="center"/>
          </w:tcPr>
          <w:p>
            <w:r>
              <w:rPr>
                <w:b w:val="false"/>
                <w:bCs w:val="false"/>
                <w:color w:val="1F2937"/>
                <w:sz w:val="19"/>
                <w:szCs w:val="19"/>
              </w:rPr>
              <w:t xml:space="preserve">Wachtrijredenering en beschikbaarheid</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13–18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3:00–3:30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18.3 — wachtrijredenering</w:t>
            </w:r>
          </w:p>
        </w:tc>
        <w:tc>
          <w:tcPr>
            <w:tcW w:type="dxa" w:w="23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3:30–3:40</w:t>
            </w:r>
          </w:p>
        </w:tc>
        <w:tc>
          <w:tcPr>
            <w:tcW w:type="dxa" w:w="4300"/>
            <w:tcMar>
              <w:top w:type="dxa" w:w="100"/>
              <w:left w:type="dxa" w:w="120"/>
              <w:bottom w:type="dxa" w:w="100"/>
              <w:right w:type="dxa" w:w="120"/>
            </w:tcMar>
            <w:vAlign w:val="center"/>
          </w:tcPr>
          <w:p>
            <w:r>
              <w:rPr>
                <w:b w:val="false"/>
                <w:bCs w:val="false"/>
                <w:color w:val="1F2937"/>
                <w:sz w:val="19"/>
                <w:szCs w:val="19"/>
              </w:rPr>
              <w:t xml:space="preserve">Gevoeligheidsanalyse; uitkomsten ordenen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20–24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3:40–3:55</w:t>
            </w:r>
          </w:p>
        </w:tc>
        <w:tc>
          <w:tcPr>
            <w:tcW w:type="dxa" w:w="4300"/>
            <w:tcMar>
              <w:top w:type="dxa" w:w="100"/>
              <w:left w:type="dxa" w:w="120"/>
              <w:bottom w:type="dxa" w:w="100"/>
              <w:right w:type="dxa" w:w="120"/>
            </w:tcMar>
            <w:vAlign w:val="center"/>
          </w:tcPr>
          <w:p>
            <w:r>
              <w:rPr>
                <w:b w:val="false"/>
                <w:bCs w:val="false"/>
                <w:color w:val="1F2937"/>
                <w:sz w:val="19"/>
                <w:szCs w:val="19"/>
              </w:rPr>
              <w:t xml:space="preserve">Andermans ontwerp: de zes vragen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25–28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3:55–4:00</w:t>
            </w:r>
          </w:p>
        </w:tc>
        <w:tc>
          <w:tcPr>
            <w:tcW w:type="dxa" w:w="4300"/>
            <w:tcMar>
              <w:top w:type="dxa" w:w="100"/>
              <w:left w:type="dxa" w:w="120"/>
              <w:bottom w:type="dxa" w:w="100"/>
              <w:right w:type="dxa" w:w="120"/>
            </w:tcMar>
            <w:vAlign w:val="center"/>
          </w:tcPr>
          <w:p>
            <w:r>
              <w:rPr>
                <w:b w:val="false"/>
                <w:bCs w:val="false"/>
                <w:color w:val="1F2937"/>
                <w:sz w:val="19"/>
                <w:szCs w:val="19"/>
              </w:rPr>
              <w:t xml:space="preserve">De politieke lading; huiswerk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29–30</w:t>
            </w:r>
          </w:p>
        </w:tc>
      </w:tr>
    </w:tbl>
    <w:p>
      <w:pPr>
        <w:spacing w:after="300"/>
      </w:pPr>
    </w:p>
    <w:p>
      <w:pPr>
        <w:spacing w:after="160" w:line="276"/>
      </w:pPr>
      <w:r>
        <w:rPr>
          <w:b/>
          <w:bCs/>
          <w:color w:val="1F2937"/>
          <w:sz w:val="22"/>
          <w:szCs w:val="22"/>
        </w:rPr>
        <w:t xml:space="preserve">Opdracht 18.4 (beschikbaarheid), 18.5 (gevoeligheid), 18.6 (het leveranciersvoorstel) en 18.7 (rapport beoordelen) staan niet in de planning.</w:t>
      </w:r>
      <w:r>
        <w:rPr>
          <w:color w:val="1F2937"/>
          <w:sz w:val="22"/>
          <w:szCs w:val="22"/>
        </w:rPr>
        <w:t xml:space="preserve"> Dit deel heeft aanzienlijk meer materiaal dan er past.</w:t>
      </w:r>
    </w:p>
    <w:p>
      <w:pPr>
        <w:pStyle w:val="ListParagraph"/>
        <w:numPr>
          <w:ilvl w:val="0"/>
          <w:numId w:val="3"/>
        </w:numPr>
        <w:spacing w:after="100"/>
      </w:pPr>
      <w:r>
        <w:rPr>
          <w:b/>
          <w:bCs/>
          <w:color w:val="1F2937"/>
          <w:sz w:val="22"/>
          <w:szCs w:val="22"/>
        </w:rPr>
        <w:t xml:space="preserve">Doe 18.6 in plaats van 18.2</w:t>
      </w:r>
      <w:r>
        <w:rPr>
          <w:color w:val="1F2937"/>
          <w:sz w:val="22"/>
          <w:szCs w:val="22"/>
        </w:rPr>
        <w:t xml:space="preserve"> bij groepen die vooral adviseren of inkopen; het beoordelen van een leveranciersvoorstel is voor hen direct toepasbaar en de sessie behandelt u dan plenair.</w:t>
      </w:r>
    </w:p>
    <w:p>
      <w:pPr>
        <w:pStyle w:val="ListParagraph"/>
        <w:numPr>
          <w:ilvl w:val="0"/>
          <w:numId w:val="3"/>
        </w:numPr>
        <w:spacing w:after="100"/>
      </w:pPr>
      <w:r>
        <w:rPr>
          <w:b/>
          <w:bCs/>
          <w:color w:val="1F2937"/>
          <w:sz w:val="22"/>
          <w:szCs w:val="22"/>
        </w:rPr>
        <w:t xml:space="preserve">Doe 18.4 in plaats van 18.3</w:t>
      </w:r>
      <w:r>
        <w:rPr>
          <w:color w:val="1F2937"/>
          <w:sz w:val="22"/>
          <w:szCs w:val="22"/>
        </w:rPr>
        <w:t xml:space="preserve"> bij groepen die de wachtrijredenering al kennen; de beschikbaarheidsopdracht is korter en levert onderdeel e) op (waarom twee instanties samen omvallen), dat vrijwel altijd nieuw is.</w:t>
      </w:r>
    </w:p>
    <w:p>
      <w:pPr>
        <w:pStyle w:val="ListParagraph"/>
        <w:numPr>
          <w:ilvl w:val="0"/>
          <w:numId w:val="3"/>
        </w:numPr>
        <w:spacing w:after="100"/>
      </w:pPr>
      <w:r>
        <w:rPr>
          <w:b/>
          <w:bCs/>
          <w:color w:val="1F2937"/>
          <w:sz w:val="22"/>
          <w:szCs w:val="22"/>
        </w:rPr>
        <w:t xml:space="preserve">Doe 18.7</w:t>
      </w:r>
      <w:r>
        <w:rPr>
          <w:color w:val="1F2937"/>
          <w:sz w:val="22"/>
          <w:szCs w:val="22"/>
        </w:rPr>
        <w:t xml:space="preserve"> bij groepen die zelf evaluatierapporten schrijven; onderdeel d) — één feitelijke fout kost het hele rapport — is een les die zij direct nodig hebben.</w:t>
      </w:r>
    </w:p>
    <w:p>
      <w:pPr>
        <w:pStyle w:val="ListParagraph"/>
        <w:numPr>
          <w:ilvl w:val="0"/>
          <w:numId w:val="3"/>
        </w:numPr>
        <w:spacing w:after="100"/>
      </w:pPr>
      <w:r>
        <w:rPr>
          <w:b/>
          <w:bCs/>
          <w:color w:val="1F2937"/>
          <w:sz w:val="22"/>
          <w:szCs w:val="22"/>
        </w:rPr>
        <w:t xml:space="preserve">Bij een tweede dagdeel:</w:t>
      </w:r>
      <w:r>
        <w:rPr>
          <w:color w:val="1F2937"/>
          <w:sz w:val="22"/>
          <w:szCs w:val="22"/>
        </w:rPr>
        <w:t xml:space="preserve"> 18.2 en 18.6 beide, met 18.3 en 18.5 als huiswerk. Dat is de rijkste vorm en zij wordt door klanten met een lopend evaluatietraject vaak gevraagd.</w:t>
      </w:r>
    </w:p>
    <w:p>
      <w:pPr>
        <w:spacing w:after="160" w:line="276"/>
      </w:pPr>
      <w:r>
        <w:rPr>
          <w:b/>
          <w:bCs/>
          <w:color w:val="1F2937"/>
          <w:sz w:val="22"/>
          <w:szCs w:val="22"/>
        </w:rPr>
        <w:t xml:space="preserve">Wat u nooit inkort: </w:t>
      </w:r>
      <w:r>
        <w:rPr>
          <w:color w:val="1F2937"/>
          <w:sz w:val="22"/>
          <w:szCs w:val="22"/>
        </w:rPr>
        <w:t xml:space="preserve">de wachtrijredenering (slides 14–16). Als u moet schrappen, laat dan de sessie korter duren.</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De volledige ATAM (slides 3–8)</w:t>
      </w:r>
    </w:p>
    <w:p>
      <w:pPr>
        <w:spacing w:after="160" w:line="276"/>
      </w:pPr>
      <w:r>
        <w:rPr>
          <w:b/>
          <w:bCs/>
          <w:color w:val="1F2937"/>
          <w:sz w:val="22"/>
          <w:szCs w:val="22"/>
        </w:rPr>
        <w:t xml:space="preserve">Slide 5 is de rechtvaardiging van de hele methode</w:t>
      </w:r>
      <w:r>
        <w:rPr>
          <w:color w:val="1F2937"/>
          <w:sz w:val="22"/>
          <w:szCs w:val="22"/>
        </w:rPr>
        <w:t xml:space="preserve"> en zij moet blijven hangen: de kerngroep kent het systeem en niet zijn eigen aannames.</w:t>
      </w:r>
    </w:p>
    <w:p>
      <w:pPr>
        <w:spacing w:after="160" w:line="276"/>
      </w:pPr>
      <w:r>
        <w:rPr>
          <w:color w:val="1F2937"/>
          <w:sz w:val="22"/>
          <w:szCs w:val="22"/>
        </w:rPr>
        <w:t xml:space="preserve">Vraag de groep of iemand een evaluatie heeft meegemaakt waarin het projectteam en de bredere organisatie samen aan tafel zaten. Wie ja zegt, weet meestal ook dat het projectteam de agenda bepaalde.</w:t>
      </w:r>
    </w:p>
    <w:p>
      <w:pPr>
        <w:spacing w:after="160" w:line="276"/>
      </w:pPr>
      <w:r>
        <w:rPr>
          <w:b/>
          <w:bCs/>
          <w:color w:val="1F2937"/>
          <w:sz w:val="22"/>
          <w:szCs w:val="22"/>
        </w:rPr>
        <w:t xml:space="preserve">Slide 6–7, de procesbewaker.</w:t>
      </w:r>
      <w:r>
        <w:rPr>
          <w:color w:val="1F2937"/>
          <w:sz w:val="22"/>
          <w:szCs w:val="22"/>
        </w:rPr>
        <w:t xml:space="preserve"> Dit is de rol die in geen enkele beschrijving prominent staat en die in de praktijk het meest oplevert. Laat de groep bedenken wie er in hún organisatie iets weet en het niet zegt; de antwoorden komen snel.</w:t>
      </w:r>
    </w:p>
    <w:p>
      <w:pPr>
        <w:spacing w:after="160" w:line="276"/>
      </w:pPr>
      <w:r>
        <w:rPr>
          <w:b/>
          <w:bCs/>
          <w:color w:val="1F2937"/>
          <w:sz w:val="22"/>
          <w:szCs w:val="22"/>
        </w:rPr>
        <w:t xml:space="preserve">Slide 8 (evaluatoren verbeteren niet)</w:t>
      </w:r>
      <w:r>
        <w:rPr>
          <w:color w:val="1F2937"/>
          <w:sz w:val="22"/>
          <w:szCs w:val="22"/>
        </w:rPr>
        <w:t xml:space="preserve"> roept weerstand op bij mensen die als architect worden ingehuurd om te evalueren. Het argument: zodra u ontwerpvoorstellen doet, verdedigt u die in het rapport, en dan bent u geen evaluator meer. Bovendien verliest de architect zijn eigenaarschap — en die moet de bevindingen straks oplossen.</w:t>
      </w:r>
    </w:p>
    <w:p>
      <w:pPr>
        <w:pStyle w:val="Heading2"/>
        <w:spacing w:after="140" w:before="260"/>
      </w:pPr>
      <w:r>
        <w:rPr>
          <w:b/>
          <w:bCs/>
          <w:color w:val="4A6789"/>
          <w:sz w:val="24"/>
          <w:szCs w:val="24"/>
        </w:rPr>
        <w:t xml:space="preserve">3.2 Schalen (slides 9–11)</w:t>
      </w:r>
    </w:p>
    <w:p>
      <w:pPr>
        <w:spacing w:after="160" w:line="276"/>
      </w:pPr>
      <w:r>
        <w:rPr>
          <w:b/>
          <w:bCs/>
          <w:color w:val="1F2937"/>
          <w:sz w:val="22"/>
          <w:szCs w:val="22"/>
        </w:rPr>
        <w:t xml:space="preserve">Slide 10 is de zin die de methode beschermt.</w:t>
      </w:r>
      <w:r>
        <w:rPr>
          <w:color w:val="1F2937"/>
          <w:sz w:val="22"/>
          <w:szCs w:val="22"/>
        </w:rPr>
        <w:t xml:space="preserve"> Een tweedaagse evaluatie waarvan de conclusie in een uur te trekken was, kost de organisatie het vertrouwen in het instrument.</w:t>
      </w:r>
    </w:p>
    <w:p>
      <w:pPr>
        <w:spacing w:after="160" w:line="276"/>
      </w:pPr>
      <w:r>
        <w:rPr>
          <w:b/>
          <w:bCs/>
          <w:color w:val="1F2937"/>
          <w:sz w:val="22"/>
          <w:szCs w:val="22"/>
        </w:rPr>
        <w:t xml:space="preserve">Opdracht 18.1 kort houden</w:t>
      </w:r>
      <w:r>
        <w:rPr>
          <w:color w:val="1F2937"/>
          <w:sz w:val="22"/>
          <w:szCs w:val="22"/>
        </w:rPr>
        <w:t xml:space="preserve"> (15 minuten) en alleen onderdeel e) plenair bespreken. De vraag in één zin is de belangrijkste voorbereiding: groepen die hem niet kunnen formuleren, hebben daarmee de bevinding dat de evaluatie te vroeg komt of dat het besluit niet helder is.</w:t>
      </w:r>
    </w:p>
    <w:p>
      <w:pPr>
        <w:pStyle w:val="Heading2"/>
        <w:spacing w:after="140" w:before="260"/>
      </w:pPr>
      <w:r>
        <w:rPr>
          <w:b/>
          <w:bCs/>
          <w:color w:val="4A6789"/>
          <w:sz w:val="24"/>
          <w:szCs w:val="24"/>
        </w:rPr>
        <w:t xml:space="preserve">3.3 De tweefasige sessie — opdracht 18.2 (90 minuten)</w:t>
      </w:r>
    </w:p>
    <w:p>
      <w:pPr>
        <w:spacing w:after="160" w:line="276"/>
      </w:pPr>
      <w:r>
        <w:rPr>
          <w:b/>
          <w:bCs/>
          <w:color w:val="1F2937"/>
          <w:sz w:val="22"/>
          <w:szCs w:val="22"/>
        </w:rPr>
        <w:t xml:space="preserve">Dit is het zwaartepunt en het vraagt strakke leiding.</w:t>
      </w:r>
      <w:r>
        <w:rPr>
          <w:color w:val="1F2937"/>
          <w:sz w:val="22"/>
          <w:szCs w:val="22"/>
        </w:rPr>
        <w:t xml:space="preserve"/>
      </w:r>
    </w:p>
    <w:p>
      <w:pPr>
        <w:spacing w:after="160" w:line="276"/>
      </w:pPr>
      <w:r>
        <w:rPr>
          <w:b/>
          <w:bCs/>
          <w:color w:val="1F2937"/>
          <w:sz w:val="22"/>
          <w:szCs w:val="22"/>
        </w:rPr>
        <w:t xml:space="preserve">Voorbereiding.</w:t>
      </w:r>
      <w:r>
        <w:rPr>
          <w:color w:val="1F2937"/>
          <w:sz w:val="22"/>
          <w:szCs w:val="22"/>
        </w:rPr>
        <w:t xml:space="preserve"> Rolkaarten uit bijlage BD verdelen vóór de pauze, zodat de observatoren tijd hebben zich in te lezen. Kies de kerngroep bewust: een architect die stevig genoeg staat om fase 2 te doorstaan, en een opdrachtgeverrol die de bedrijfsdoelen kan verwoorden.</w:t>
      </w:r>
    </w:p>
    <w:p>
      <w:pPr>
        <w:spacing w:after="160" w:line="276"/>
      </w:pPr>
      <w:r>
        <w:rPr>
          <w:b/>
          <w:bCs/>
          <w:color w:val="1F2937"/>
          <w:sz w:val="22"/>
          <w:szCs w:val="22"/>
        </w:rPr>
        <w:t xml:space="preserve">De regel die u het strengst bewaakt:</w:t>
      </w:r>
      <w:r>
        <w:rPr>
          <w:color w:val="1F2937"/>
          <w:sz w:val="22"/>
          <w:szCs w:val="22"/>
        </w:rPr>
        <w:t xml:space="preserve"> de observatoren zeggen niets in fase 1. Dat is ongemakkelijk en het is precies het effect dat u nodig hebt — zij horen aannames die zij niet mogen corrigeren, en die vormen de tussenperiode.</w:t>
      </w:r>
    </w:p>
    <w:p>
      <w:pPr>
        <w:spacing w:after="160" w:line="276"/>
      </w:pPr>
      <w:r>
        <w:rPr>
          <w:b/>
          <w:bCs/>
          <w:color w:val="1F2937"/>
          <w:sz w:val="22"/>
          <w:szCs w:val="22"/>
        </w:rPr>
        <w:t xml:space="preserve">De tussenperiode is geen pauze.</w:t>
      </w:r>
      <w:r>
        <w:rPr>
          <w:color w:val="1F2937"/>
          <w:sz w:val="22"/>
          <w:szCs w:val="22"/>
        </w:rPr>
        <w:t xml:space="preserve"> Loop bij de observatoren langs en vraag: welke aanname hoorde u? De formulering “wij gaan ervan uit dat…” is het signaal, en ook de stilte waar een vraag hoorde.</w:t>
      </w:r>
    </w:p>
    <w:p>
      <w:pPr>
        <w:spacing w:after="160" w:line="276"/>
      </w:pPr>
      <w:r>
        <w:rPr>
          <w:b/>
          <w:bCs/>
          <w:color w:val="1F2937"/>
          <w:sz w:val="22"/>
          <w:szCs w:val="22"/>
        </w:rPr>
        <w:t xml:space="preserve">In fase 2</w:t>
      </w:r>
      <w:r>
        <w:rPr>
          <w:color w:val="1F2937"/>
          <w:sz w:val="22"/>
          <w:szCs w:val="22"/>
        </w:rPr>
        <w:t xml:space="preserve"> mag de kerngroep pas in de laatste tien minuten verdedigen. Zonder die regel stopt de bredere groep na drie scenario's. Grijp actief in — dit is de meest voorkomende plek waar de oefening mislukt.</w:t>
      </w:r>
    </w:p>
    <w:p>
      <w:pPr>
        <w:spacing w:after="160" w:line="276"/>
      </w:pPr>
      <w:r>
        <w:rPr>
          <w:b/>
          <w:bCs/>
          <w:color w:val="1F2937"/>
          <w:sz w:val="22"/>
          <w:szCs w:val="22"/>
        </w:rPr>
        <w:t xml:space="preserve">Bij de afronding</w:t>
      </w:r>
      <w:r>
        <w:rPr>
          <w:color w:val="1F2937"/>
          <w:sz w:val="22"/>
          <w:szCs w:val="22"/>
        </w:rPr>
        <w:t xml:space="preserve"> let u op het clusteren in thema's. Groepen die twintig losse risico's overhouden, leveren een rapport dat niet bruikbaar is in een stuurgroep.</w:t>
      </w:r>
    </w:p>
    <w:p>
      <w:pPr>
        <w:spacing w:after="160" w:line="276"/>
      </w:pPr>
      <w:r>
        <w:rPr>
          <w:b/>
          <w:bCs/>
          <w:color w:val="1F2937"/>
          <w:sz w:val="22"/>
          <w:szCs w:val="22"/>
        </w:rPr>
        <w:t xml:space="preserve">Laat de procesbewaker als laatste rapporteren:</w:t>
      </w:r>
      <w:r>
        <w:rPr>
          <w:color w:val="1F2937"/>
          <w:sz w:val="22"/>
          <w:szCs w:val="22"/>
        </w:rPr>
        <w:t xml:space="preserve"> wie is er niet aan het woord gekomen? In vrijwel elke sessie zijn dat dezelfde categorieën, en het benoemen ervan is het sterkste moment van de oefening.</w:t>
      </w:r>
    </w:p>
    <w:p>
      <w:pPr>
        <w:pStyle w:val="Heading2"/>
        <w:spacing w:after="140" w:before="260"/>
      </w:pPr>
      <w:r>
        <w:rPr>
          <w:b/>
          <w:bCs/>
          <w:color w:val="4A6789"/>
          <w:sz w:val="24"/>
          <w:szCs w:val="24"/>
        </w:rPr>
        <w:t xml:space="preserve">3.4 Kwantitatieve analyse (slides 13–19)</w:t>
      </w:r>
    </w:p>
    <w:p>
      <w:pPr>
        <w:spacing w:after="160" w:line="276"/>
      </w:pPr>
      <w:r>
        <w:rPr>
          <w:b/>
          <w:bCs/>
          <w:color w:val="1F2937"/>
          <w:sz w:val="22"/>
          <w:szCs w:val="22"/>
        </w:rPr>
        <w:t xml:space="preserve">Dit is het inhoudelijke hoogtepunt en het is toegankelijker dan deelnemers verwachten.</w:t>
      </w:r>
      <w:r>
        <w:rPr>
          <w:color w:val="1F2937"/>
          <w:sz w:val="22"/>
          <w:szCs w:val="22"/>
        </w:rPr>
        <w:t xml:space="preserve"/>
      </w:r>
    </w:p>
    <w:p>
      <w:pPr>
        <w:spacing w:after="160" w:line="276"/>
      </w:pPr>
      <w:r>
        <w:rPr>
          <w:b/>
          <w:bCs/>
          <w:color w:val="1F2937"/>
          <w:sz w:val="22"/>
          <w:szCs w:val="22"/>
        </w:rPr>
        <w:t xml:space="preserve">Slide 14–15.</w:t>
      </w:r>
      <w:r>
        <w:rPr>
          <w:color w:val="1F2937"/>
          <w:sz w:val="22"/>
          <w:szCs w:val="22"/>
        </w:rPr>
        <w:t xml:space="preserve"> Presenteer de wachtrijredenering zonder formules. Het enige dat men hoeft te onthouden is de vorm van de curve: vlak tot ongeveer 70%, oplopend tot 90%, en daarna weglopend.</w:t>
      </w:r>
    </w:p>
    <w:p>
      <w:pPr>
        <w:spacing w:after="160" w:line="276"/>
      </w:pPr>
      <w:r>
        <w:rPr>
          <w:b/>
          <w:bCs/>
          <w:color w:val="1F2937"/>
          <w:sz w:val="22"/>
          <w:szCs w:val="22"/>
        </w:rPr>
        <w:t xml:space="preserve">Slide 15 is de zin die de capaciteitsdiscussie verandert:</w:t>
      </w:r>
      <w:r>
        <w:rPr>
          <w:color w:val="1F2937"/>
          <w:sz w:val="22"/>
          <w:szCs w:val="22"/>
        </w:rPr>
        <w:t xml:space="preserve"> een systeem op 90% benutting is niet voor 90% belast maar praktisch vol.</w:t>
      </w:r>
    </w:p>
    <w:p>
      <w:pPr>
        <w:spacing w:after="160" w:line="276"/>
      </w:pPr>
      <w:r>
        <w:rPr>
          <w:b/>
          <w:bCs/>
          <w:color w:val="1F2937"/>
          <w:sz w:val="22"/>
          <w:szCs w:val="22"/>
        </w:rPr>
        <w:t xml:space="preserve">Slide 16 is het beloningsmoment.</w:t>
      </w:r>
      <w:r>
        <w:rPr>
          <w:color w:val="1F2937"/>
          <w:sz w:val="22"/>
          <w:szCs w:val="22"/>
        </w:rPr>
        <w:t xml:space="preserve"> De sprong van 6 naar 90 seconden uit deel 6 van niveau 1 staat sinds dat deel onverklaard. Hier krijgt zij haar verklaring, en de conclusie is dat een rekensom van tien minuten in week één het had uitgewezen.</w:t>
      </w:r>
    </w:p>
    <w:p>
      <w:pPr>
        <w:spacing w:after="160" w:line="276"/>
      </w:pPr>
      <w:r>
        <w:rPr>
          <w:color w:val="1F2937"/>
          <w:sz w:val="22"/>
          <w:szCs w:val="22"/>
        </w:rPr>
        <w:t xml:space="preserve">Laat dat even staan. Voor de meeste deelnemers is dit het moment waarop de casus rond wordt.</w:t>
      </w:r>
    </w:p>
    <w:p>
      <w:pPr>
        <w:spacing w:after="160" w:line="276"/>
      </w:pPr>
      <w:r>
        <w:rPr>
          <w:b/>
          <w:bCs/>
          <w:color w:val="1F2937"/>
          <w:sz w:val="22"/>
          <w:szCs w:val="22"/>
        </w:rPr>
        <w:t xml:space="preserve">Opdracht 18.3, plenair vooral b) en f).</w:t>
      </w:r>
      <w:r>
        <w:rPr>
          <w:color w:val="1F2937"/>
          <w:sz w:val="22"/>
          <w:szCs w:val="22"/>
        </w:rPr>
        <w:t xml:space="preserve"/>
      </w:r>
    </w:p>
    <w:p>
      <w:pPr>
        <w:spacing w:after="160" w:line="276"/>
      </w:pPr>
      <w:r>
        <w:rPr>
          <w:color w:val="1F2937"/>
          <w:sz w:val="22"/>
          <w:szCs w:val="22"/>
        </w:rPr>
        <w:t xml:space="preserve">Bij b) is de conclusie van beheer (“gemiddeld 55% — voldoende ruimte”) onjuist, en het argument is dat een gemiddelde precies verbergt wat u wilt weten. Groepen die dat zien, hebben de belangrijkste vaardigheid van dit blok.</w:t>
      </w:r>
    </w:p>
    <w:p>
      <w:pPr>
        <w:spacing w:after="160" w:line="276"/>
      </w:pPr>
      <w:r>
        <w:rPr>
          <w:b/>
          <w:bCs/>
          <w:color w:val="1F2937"/>
          <w:sz w:val="22"/>
          <w:szCs w:val="22"/>
        </w:rPr>
        <w:t xml:space="preserve">Bij f)</w:t>
      </w:r>
      <w:r>
        <w:rPr>
          <w:color w:val="1F2937"/>
          <w:sz w:val="22"/>
          <w:szCs w:val="22"/>
        </w:rPr>
        <w:t xml:space="preserve"> laat u twee duo's hun tweezinsuitspraak voorlezen. De toets: zou een stuurgroeplid dit begrijpen zonder navraag? De formulering in de uitwerking is een goede maatstaf.</w:t>
      </w:r>
    </w:p>
    <w:p>
      <w:pPr>
        <w:spacing w:after="160" w:line="276"/>
      </w:pPr>
      <w:r>
        <w:rPr>
          <w:b/>
          <w:bCs/>
          <w:color w:val="1F2937"/>
          <w:sz w:val="22"/>
          <w:szCs w:val="22"/>
        </w:rPr>
        <w:t xml:space="preserve">Slide 17–18 (beschikbaarheid) kort houden</w:t>
      </w:r>
      <w:r>
        <w:rPr>
          <w:color w:val="1F2937"/>
          <w:sz w:val="22"/>
          <w:szCs w:val="22"/>
        </w:rPr>
        <w:t xml:space="preserve"> als u opdracht 18.4 niet doet, maar sla slide 18 niet over: de vier manieren waarop twee “onafhankelijke” instanties samen omvallen zijn voor bijna iedereen nieuw, en de vierde (dezelfde belasting — A valt om, B krijgt alles, B valt om) is de meest voorkomende in de praktijk.</w:t>
      </w:r>
    </w:p>
    <w:p>
      <w:pPr>
        <w:pStyle w:val="Heading2"/>
        <w:spacing w:after="140" w:before="260"/>
      </w:pPr>
      <w:r>
        <w:rPr>
          <w:b/>
          <w:bCs/>
          <w:color w:val="4A6789"/>
          <w:sz w:val="24"/>
          <w:szCs w:val="24"/>
        </w:rPr>
        <w:t xml:space="preserve">3.5 Gevoeligheid en ordening (slides 20–24)</w:t>
      </w:r>
    </w:p>
    <w:p>
      <w:pPr>
        <w:spacing w:after="160" w:line="276"/>
      </w:pPr>
      <w:r>
        <w:rPr>
          <w:b/>
          <w:bCs/>
          <w:color w:val="1F2937"/>
          <w:sz w:val="22"/>
          <w:szCs w:val="22"/>
        </w:rPr>
        <w:t xml:space="preserve">Slide 21 verbindt terug naar deel 2 en 13:</w:t>
      </w:r>
      <w:r>
        <w:rPr>
          <w:color w:val="1F2937"/>
          <w:sz w:val="22"/>
          <w:szCs w:val="22"/>
        </w:rPr>
        <w:t xml:space="preserve"> een herzieningsgrens uit een gevoeligheidsanalyse is verdedigbaar, een grens op gevoel wordt weggeredeneerd.</w:t>
      </w:r>
    </w:p>
    <w:p>
      <w:pPr>
        <w:spacing w:after="160" w:line="276"/>
      </w:pPr>
      <w:r>
        <w:rPr>
          <w:color w:val="1F2937"/>
          <w:sz w:val="22"/>
          <w:szCs w:val="22"/>
        </w:rPr>
        <w:t xml:space="preserve">Als u opdracht 18.5 doet, is onderdeel c) de toets op consequent werken: klopt de herzieningsgrens uit hun ADR van deel 5 nog, nu zij kunnen rekenen? Het antwoord is doorgaans dat de grens conservatief is gekozen, en dat is verdedigbaar mits expliciet gemaakt.</w:t>
      </w:r>
    </w:p>
    <w:p>
      <w:pPr>
        <w:spacing w:after="160" w:line="276"/>
      </w:pPr>
      <w:r>
        <w:rPr>
          <w:b/>
          <w:bCs/>
          <w:color w:val="1F2937"/>
          <w:sz w:val="22"/>
          <w:szCs w:val="22"/>
        </w:rPr>
        <w:t xml:space="preserve">Slide 23–24.</w:t>
      </w:r>
      <w:r>
        <w:rPr>
          <w:color w:val="1F2937"/>
          <w:sz w:val="22"/>
          <w:szCs w:val="22"/>
        </w:rPr>
        <w:t xml:space="preserve"> Het clusteren in thema's en het niet-geven van een cijfer zijn beide bestuurlijke vaardigheden. Slide 24 komt uit deel 9 en is hier scherper: wie een zeven levert, krijgt de vraag waarom het geen negen is.</w:t>
      </w:r>
    </w:p>
    <w:p>
      <w:pPr>
        <w:pStyle w:val="Heading2"/>
        <w:spacing w:after="140" w:before="260"/>
      </w:pPr>
      <w:r>
        <w:rPr>
          <w:b/>
          <w:bCs/>
          <w:color w:val="4A6789"/>
          <w:sz w:val="24"/>
          <w:szCs w:val="24"/>
        </w:rPr>
        <w:t xml:space="preserve">3.6 Andermans ontwerp (slides 25–28)</w:t>
      </w:r>
    </w:p>
    <w:p>
      <w:pPr>
        <w:spacing w:after="160" w:line="276"/>
      </w:pPr>
      <w:r>
        <w:rPr>
          <w:b/>
          <w:bCs/>
          <w:color w:val="1F2937"/>
          <w:sz w:val="22"/>
          <w:szCs w:val="22"/>
        </w:rPr>
        <w:t xml:space="preserve">Dit blok is voor consultants het waardevolst van het hele niveau.</w:t>
      </w:r>
      <w:r>
        <w:rPr>
          <w:color w:val="1F2937"/>
          <w:sz w:val="22"/>
          <w:szCs w:val="22"/>
        </w:rPr>
        <w:t xml:space="preserve"/>
      </w:r>
    </w:p>
    <w:p>
      <w:pPr>
        <w:spacing w:after="160" w:line="276"/>
      </w:pPr>
      <w:r>
        <w:rPr>
          <w:b/>
          <w:bCs/>
          <w:color w:val="1F2937"/>
          <w:sz w:val="22"/>
          <w:szCs w:val="22"/>
        </w:rPr>
        <w:t xml:space="preserve">Slide 27 (de vraagformulering) verdient oefening.</w:t>
      </w:r>
      <w:r>
        <w:rPr>
          <w:color w:val="1F2937"/>
          <w:sz w:val="22"/>
          <w:szCs w:val="22"/>
        </w:rPr>
        <w:t xml:space="preserve"> Laat twee deelnemers de vraag hardop stellen alsof zij tegenover een leverancier zitten. De formulering doet ertoe: beleefd, vakmanschap veronderstellend, en niet te ontwijken zonder dat het opvalt.</w:t>
      </w:r>
    </w:p>
    <w:p>
      <w:pPr>
        <w:spacing w:after="160" w:line="276"/>
      </w:pPr>
      <w:r>
        <w:rPr>
          <w:b/>
          <w:bCs/>
          <w:color w:val="1F2937"/>
          <w:sz w:val="22"/>
          <w:szCs w:val="22"/>
        </w:rPr>
        <w:t xml:space="preserve">Slide 28 is de moeilijkste houding van dit deel:</w:t>
      </w:r>
      <w:r>
        <w:rPr>
          <w:color w:val="1F2937"/>
          <w:sz w:val="22"/>
          <w:szCs w:val="22"/>
        </w:rPr>
        <w:t xml:space="preserve"> de toets is of het ontwerp de eisen haalt, niet of het uw ontwerp is.</w:t>
      </w:r>
    </w:p>
    <w:p>
      <w:pPr>
        <w:spacing w:after="160" w:line="276"/>
      </w:pPr>
      <w:r>
        <w:rPr>
          <w:color w:val="1F2937"/>
          <w:sz w:val="22"/>
          <w:szCs w:val="22"/>
        </w:rPr>
        <w:t xml:space="preserve">Als u opdracht 18.6 doet, is onderdeel e) hier het hoogtepunt. De omkering die werkt: niet “waarom doen zij het niet zoals ik” maar “welke eis wordt hierdoor niet gehaald?” Is het antwoord “geen”, dan gaat het niet in het rapport.</w:t>
      </w:r>
    </w:p>
    <w:p>
      <w:pPr>
        <w:spacing w:after="160" w:line="276"/>
      </w:pPr>
      <w:r>
        <w:rPr>
          <w:color w:val="1F2937"/>
          <w:sz w:val="22"/>
          <w:szCs w:val="22"/>
        </w:rPr>
        <w:t xml:space="preserve">Dit is een terugkerend thema naar niveau 3: het onderscheid tussen een oordeel over het ontwerp en een oordeel over de ontwerper.</w:t>
      </w:r>
    </w:p>
    <w:p>
      <w:pPr>
        <w:pStyle w:val="Heading2"/>
        <w:spacing w:after="140" w:before="260"/>
      </w:pPr>
      <w:r>
        <w:rPr>
          <w:b/>
          <w:bCs/>
          <w:color w:val="4A6789"/>
          <w:sz w:val="24"/>
          <w:szCs w:val="24"/>
        </w:rPr>
        <w:t xml:space="preserve">3.7 De politieke lading (slide 29)</w:t>
      </w:r>
    </w:p>
    <w:p>
      <w:pPr>
        <w:spacing w:after="160" w:line="276"/>
      </w:pPr>
      <w:r>
        <w:rPr>
          <w:b/>
          <w:bCs/>
          <w:color w:val="1F2937"/>
          <w:sz w:val="22"/>
          <w:szCs w:val="22"/>
        </w:rPr>
        <w:t xml:space="preserve">Kort maar niet overslaan,</w:t>
      </w:r>
      <w:r>
        <w:rPr>
          <w:color w:val="1F2937"/>
          <w:sz w:val="22"/>
          <w:szCs w:val="22"/>
        </w:rPr>
        <w:t xml:space="preserve"> en het punt dat het meeste indruk maakt is de derde maatregel: één feitelijke onjuistheid kost een heel rapport.</w:t>
      </w:r>
    </w:p>
    <w:p>
      <w:pPr>
        <w:spacing w:after="160" w:line="276"/>
      </w:pPr>
      <w:r>
        <w:rPr>
          <w:color w:val="1F2937"/>
          <w:sz w:val="22"/>
          <w:szCs w:val="22"/>
        </w:rPr>
        <w:t xml:space="preserve">Als u opdracht 18.7 doet, is dat precies wat bijlage BG laat zien: de architect valt aan op de fout, en in het gesprek dat volgt verdwijnt de rest. De bevestigingsronde is daarom geen concessie aan de geëvalueerde maar een kwaliteitsmaatregel.</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“Wij hebben nooit twee dagen voor een evaluatie.”</w:t>
      </w:r>
      <w:r>
        <w:rPr>
          <w:color w:val="1F2937"/>
          <w:sz w:val="22"/>
          <w:szCs w:val="22"/>
        </w:rPr>
        <w:t xml:space="preserve"> Correct, en dat is waarom slide 9 bestaat. De volledige ATAM is voor besluitmomenten; voor de rest zijn er lichtere vormen. Wie de zware vorm als enige kent, doet uiteindelijk niets.</w:t>
      </w:r>
    </w:p>
    <w:p>
      <w:pPr>
        <w:spacing w:after="160" w:line="276"/>
      </w:pPr>
      <w:r>
        <w:rPr>
          <w:b/>
          <w:bCs/>
          <w:color w:val="1F2937"/>
          <w:sz w:val="22"/>
          <w:szCs w:val="22"/>
        </w:rPr>
        <w:t xml:space="preserve">De wiskundeweerstand.</w:t>
      </w:r>
      <w:r>
        <w:rPr>
          <w:color w:val="1F2937"/>
          <w:sz w:val="22"/>
          <w:szCs w:val="22"/>
        </w:rPr>
        <w:t xml:space="preserve"> Er is bij wachtrijredenering altijd iemand die afhaakt bij het woord “benutting”. Blijf bij de curve en bij het praktijkvoorbeeld: 6 seconden bij één, 90 bij vijftig. Formules zijn niet nodig en zij verjagen de helft van de zaal.</w:t>
      </w:r>
    </w:p>
    <w:p>
      <w:pPr>
        <w:spacing w:after="160" w:line="276"/>
      </w:pPr>
      <w:r>
        <w:rPr>
          <w:b/>
          <w:bCs/>
          <w:color w:val="1F2937"/>
          <w:sz w:val="22"/>
          <w:szCs w:val="22"/>
        </w:rPr>
        <w:t xml:space="preserve">“Onze leverancier accepteert deze vragen niet.”</w:t>
      </w:r>
      <w:r>
        <w:rPr>
          <w:color w:val="1F2937"/>
          <w:sz w:val="22"/>
          <w:szCs w:val="22"/>
        </w:rPr>
        <w:t xml:space="preserve"> Zelden waar en het is een goede toetsvraag: een leverancier die vraag 4 niet wil beantwoorden, geeft daarmee informatie. Als de inkooprelatie het stellen van deze vragen werkelijk verhindert, is dat een organisatieprobleem dat de architect moet melden en niet oplossen.</w:t>
      </w:r>
    </w:p>
    <w:p>
      <w:pPr>
        <w:spacing w:after="160" w:line="276"/>
      </w:pPr>
      <w:r>
        <w:rPr>
          <w:b/>
          <w:bCs/>
          <w:color w:val="1F2937"/>
          <w:sz w:val="22"/>
          <w:szCs w:val="22"/>
        </w:rPr>
        <w:t xml:space="preserve">De groep wil over het eigen evaluatieproces praten.</w:t>
      </w:r>
      <w:r>
        <w:rPr>
          <w:color w:val="1F2937"/>
          <w:sz w:val="22"/>
          <w:szCs w:val="22"/>
        </w:rPr>
        <w:t xml:space="preserve"> Vaak waardevol, mits het niet de sessie verdringt. Geef er tien minuten aan bij de afronding en verbind het met de borgingsladder: is evalueren bij u een afspraak, een beoordelingsmoment, of iets dat alleen bij problemen gebeurt?</w:t>
      </w:r>
    </w:p>
    <w:p>
      <w:pPr>
        <w:spacing w:after="160" w:line="276"/>
      </w:pPr>
      <w:r>
        <w:rPr>
          <w:b/>
          <w:bCs/>
          <w:color w:val="1F2937"/>
          <w:sz w:val="22"/>
          <w:szCs w:val="22"/>
        </w:rPr>
        <w:t xml:space="preserve">Iemand is zelf ooit hard geëvalueerd.</w:t>
      </w:r>
      <w:r>
        <w:rPr>
          <w:color w:val="1F2937"/>
          <w:sz w:val="22"/>
          <w:szCs w:val="22"/>
        </w:rPr>
        <w:t xml:space="preserve"> Komt voor en het gesprek is waardevol. Gebruik het bij slide 29: welke van de vier maatregelen ontbrak destijds? Meestal is het antwoord “benoem wat goed is” of de bevestigingsronde.</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4"/>
        </w:numPr>
        <w:spacing w:after="120"/>
      </w:pPr>
      <w:r>
        <w:rPr>
          <w:color w:val="1F2937"/>
          <w:sz w:val="22"/>
          <w:szCs w:val="22"/>
        </w:rPr>
        <w:t xml:space="preserve">Wie kan de vraag bij 18.1e niet in één zin formuleren? Zal in niveau 3 moeite hebben met de certificeringsopdracht, die dezelfde scherpte vraagt.</w:t>
      </w:r>
    </w:p>
    <w:p>
      <w:pPr>
        <w:pStyle w:val="ListParagraph"/>
        <w:numPr>
          <w:ilvl w:val="0"/>
          <w:numId w:val="4"/>
        </w:numPr>
        <w:spacing w:after="120"/>
      </w:pPr>
      <w:r>
        <w:rPr>
          <w:color w:val="1F2937"/>
          <w:sz w:val="22"/>
          <w:szCs w:val="22"/>
        </w:rPr>
        <w:t xml:space="preserve">Wie beoordeelt andermans ontwerp op gelijkenis met het eigen ontwerp? Dit is het duidelijkste signaal voor problemen in het examinatoreninterview van niveau 3.</w:t>
      </w:r>
    </w:p>
    <w:p>
      <w:pPr>
        <w:pStyle w:val="ListParagraph"/>
        <w:numPr>
          <w:ilvl w:val="0"/>
          <w:numId w:val="4"/>
        </w:numPr>
        <w:spacing w:after="120"/>
      </w:pPr>
      <w:r>
        <w:rPr>
          <w:color w:val="1F2937"/>
          <w:sz w:val="22"/>
          <w:szCs w:val="22"/>
        </w:rPr>
        <w:t xml:space="preserve">Wie clustert bevindingen niet in thema's? Levert rapporten die bestuurlijk niet bruikbaar zijn — dat komt in deel 19 en in niveau 3 terug.</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18</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color w:val="1F2937"/>
          <w:sz w:val="22"/>
          <w:szCs w:val="22"/>
        </w:rPr>
        <w:t xml:space="preserve">Bijlage BD: rolkaarten met per rol de kennis die alleen die rol heeft — cruciaal voor de sessie</w:t>
      </w:r>
    </w:p>
    <w:p>
      <w:pPr>
        <w:pStyle w:val="ListParagraph"/>
        <w:numPr>
          <w:ilvl w:val="0"/>
          <w:numId w:val="3"/>
        </w:numPr>
        <w:spacing w:after="100"/>
      </w:pPr>
      <w:r>
        <w:rPr>
          <w:color w:val="1F2937"/>
          <w:sz w:val="22"/>
          <w:szCs w:val="22"/>
        </w:rPr>
        <w:t xml:space="preserve">Bijlage BE: het leveranciersvoorstel van twaalf pagina's, met de tekortkomingen erin verwerkt</w:t>
      </w:r>
    </w:p>
    <w:p>
      <w:pPr>
        <w:pStyle w:val="ListParagraph"/>
        <w:numPr>
          <w:ilvl w:val="0"/>
          <w:numId w:val="3"/>
        </w:numPr>
        <w:spacing w:after="100"/>
      </w:pPr>
      <w:r>
        <w:rPr>
          <w:color w:val="1F2937"/>
          <w:sz w:val="22"/>
          <w:szCs w:val="22"/>
        </w:rPr>
        <w:t xml:space="preserve">Bijlage BF: drie maanden meetgegevens van het koppelvlak — het materiaal voor de wachtrijopdracht</w:t>
      </w:r>
    </w:p>
    <w:p>
      <w:pPr>
        <w:pStyle w:val="ListParagraph"/>
        <w:numPr>
          <w:ilvl w:val="0"/>
          <w:numId w:val="3"/>
        </w:numPr>
        <w:spacing w:after="100"/>
      </w:pPr>
      <w:r>
        <w:rPr>
          <w:color w:val="1F2937"/>
          <w:sz w:val="22"/>
          <w:szCs w:val="22"/>
        </w:rPr>
        <w:t xml:space="preserve">Bijlage BG: een evaluatierapport met architectenreactie en één feitelijke fout</w:t>
      </w:r>
    </w:p>
    <w:p>
      <w:pPr>
        <w:pStyle w:val="ListParagraph"/>
        <w:numPr>
          <w:ilvl w:val="0"/>
          <w:numId w:val="3"/>
        </w:numPr>
        <w:spacing w:after="100"/>
      </w:pPr>
      <w:r>
        <w:rPr>
          <w:color w:val="1F2937"/>
          <w:sz w:val="22"/>
          <w:szCs w:val="22"/>
        </w:rPr>
        <w:t xml:space="preserve">De evaluatiebevindingen uit deel 9 van niveau 1 en de ADR's met herzieningsgrenzen</w:t>
      </w:r>
    </w:p>
    <w:p>
      <w:pPr>
        <w:pStyle w:val="ListParagraph"/>
        <w:numPr>
          <w:ilvl w:val="0"/>
          <w:numId w:val="3"/>
        </w:numPr>
        <w:spacing w:after="100"/>
      </w:pPr>
      <w:r>
        <w:rPr>
          <w:color w:val="1F2937"/>
          <w:sz w:val="22"/>
          <w:szCs w:val="22"/>
        </w:rPr>
        <w:t xml:space="preserve">Groot vel met vier kolommen voor de uitkomstsoorten tijdens de sessie</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19 opent het communicatieve competentiegebied. De brug: we hebben nu een evaluatie met bevindingen, thema's en eigenaren. Die moeten worden overgedragen aan mensen die geen architect zijn en die andere belangen hebben — een stuurgroep, een toezichthouder, een leverancier, een team dat het moet bouwen. Volgende keer gaat het over die overdracht: documentatie en communicatie voor verschillende publieken, en waarom hetzelfde verhaal vier keer anders verteld moet worden.</w:t>
      </w:r>
    </w:p>
    <w:p>
      <w:pPr>
        <w:pBdr>
          <w:top w:val="single" w:color="E5E7EB" w:sz="4" w:space="8"/>
        </w:pBdr>
        <w:spacing w:before="400"/>
        <w:jc w:val="center"/>
      </w:pPr>
      <w:r>
        <w:rPr>
          <w:i/>
          <w:iCs/>
          <w:color w:val="6B7280"/>
          <w:sz w:val="17"/>
          <w:szCs w:val="17"/>
        </w:rPr>
        <w:t xml:space="preserve">Ductus B.V. · Cursus Softwarearchitectuur · Niveau 2, deel 18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2026-08-17T19:36:21.885Z</dcterms:created>
  <dcterms:modified xsi:type="dcterms:W3CDTF">2026-08-17T19:36:21.886Z</dcterms:modified>
</cp:coreProperties>
</file>

<file path=docProps/custom.xml><?xml version="1.0" encoding="utf-8"?>
<Properties xmlns="http://schemas.openxmlformats.org/officeDocument/2006/custom-properties" xmlns:vt="http://schemas.openxmlformats.org/officeDocument/2006/docPropsVTypes"/>
</file>