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18 — Architectuurevaluatie gevorderd</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18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het CPSA-Advanced-traject van het iSAQB; deze cursus is geen geaccrediteerde training en levert geen credit points. Raadpleeg isaqb.org voor het actuele modulelandschap. Technologieneutraal.</w:t>
            </w:r>
          </w:p>
        </w:tc>
      </w:tr>
    </w:tbl>
    <w:p>
      <w:pPr>
        <w:spacing w:after="160" w:line="276"/>
      </w:pPr>
      <w:r>
        <w:rPr>
          <w:i/>
          <w:iCs/>
          <w:color w:val="6B7280"/>
          <w:sz w:val="22"/>
          <w:szCs w:val="22"/>
        </w:rPr>
        <w:t xml:space="preserve">Competentiegebied: methodisch</w:t>
      </w: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de volledige ATAM voorbereiden en leiden, inclusief de rolverdeling en de valkuilen per fase;</w:t>
      </w:r>
    </w:p>
    <w:p>
      <w:pPr>
        <w:pStyle w:val="ListParagraph"/>
        <w:numPr>
          <w:ilvl w:val="0"/>
          <w:numId w:val="2"/>
        </w:numPr>
        <w:spacing w:after="120"/>
      </w:pPr>
      <w:r>
        <w:rPr>
          <w:color w:val="1F2937"/>
          <w:sz w:val="22"/>
          <w:szCs w:val="22"/>
        </w:rPr>
        <w:t xml:space="preserve">een evaluatie schalen naar de vraag: van een lichte toets tot een tweefasige sessie met twintig deelnemers;</w:t>
      </w:r>
    </w:p>
    <w:p>
      <w:pPr>
        <w:pStyle w:val="ListParagraph"/>
        <w:numPr>
          <w:ilvl w:val="0"/>
          <w:numId w:val="2"/>
        </w:numPr>
        <w:spacing w:after="120"/>
      </w:pPr>
      <w:r>
        <w:rPr>
          <w:color w:val="1F2937"/>
          <w:sz w:val="22"/>
          <w:szCs w:val="22"/>
        </w:rPr>
        <w:t xml:space="preserve">kwantitatieve analyse toepassen: wachtrijredenering, beschikbaarheidsrekenwerk en gevoeligheidsanalyse;</w:t>
      </w:r>
    </w:p>
    <w:p>
      <w:pPr>
        <w:pStyle w:val="ListParagraph"/>
        <w:numPr>
          <w:ilvl w:val="0"/>
          <w:numId w:val="2"/>
        </w:numPr>
        <w:spacing w:after="120"/>
      </w:pPr>
      <w:r>
        <w:rPr>
          <w:color w:val="1F2937"/>
          <w:sz w:val="22"/>
          <w:szCs w:val="22"/>
        </w:rPr>
        <w:t xml:space="preserve">de uitkomsten van een evaluatie ordenen, prioriteren en aan de juiste partij overdragen;</w:t>
      </w:r>
    </w:p>
    <w:p>
      <w:pPr>
        <w:pStyle w:val="ListParagraph"/>
        <w:numPr>
          <w:ilvl w:val="0"/>
          <w:numId w:val="2"/>
        </w:numPr>
        <w:spacing w:after="120"/>
      </w:pPr>
      <w:r>
        <w:rPr>
          <w:color w:val="1F2937"/>
          <w:sz w:val="22"/>
          <w:szCs w:val="22"/>
        </w:rPr>
        <w:t xml:space="preserve">een architectuur van een ander beoordelen — inclusief die van een leverancier;</w:t>
      </w:r>
    </w:p>
    <w:p>
      <w:pPr>
        <w:pStyle w:val="ListParagraph"/>
        <w:numPr>
          <w:ilvl w:val="0"/>
          <w:numId w:val="2"/>
        </w:numPr>
        <w:spacing w:after="120"/>
      </w:pPr>
      <w:r>
        <w:rPr>
          <w:color w:val="1F2937"/>
          <w:sz w:val="22"/>
          <w:szCs w:val="22"/>
        </w:rPr>
        <w:t xml:space="preserve">de grenzen van evaluatie benoemen en omgaan met de politieke lading ervan.</w:t>
      </w:r>
    </w:p>
    <w:p>
      <w:pPr>
        <w:pStyle w:val="Heading1"/>
        <w:pBdr>
          <w:bottom w:val="single" w:color="E5E7EB" w:sz="6" w:space="6"/>
        </w:pBdr>
        <w:spacing w:after="180" w:before="380"/>
      </w:pPr>
      <w:r>
        <w:rPr>
          <w:b/>
          <w:bCs/>
          <w:color w:val="1F3A5F"/>
          <w:sz w:val="30"/>
          <w:szCs w:val="30"/>
        </w:rPr>
        <w:t xml:space="preserve">18.1 De aanleiding: de tussenevaluatie</w:t>
      </w:r>
    </w:p>
    <w:p>
      <w:pPr>
        <w:spacing w:after="160" w:line="276"/>
      </w:pPr>
      <w:r>
        <w:rPr>
          <w:color w:val="1F2937"/>
          <w:sz w:val="22"/>
          <w:szCs w:val="22"/>
        </w:rPr>
        <w:t xml:space="preserve">Het programma nadert een besluitmoment. Adres- en e-mailmutaties draaien in productie, scheiding en overlijden zijn gebouwd maar niet uitgerold, en de conversie loopt. De stuurgroep moet beslissen of de resterende drie mutatiesoorten volgens hetzelfde ontwerp worden gebouwd, of dat er iets fundamenteel anders moet.</w:t>
      </w:r>
    </w:p>
    <w:p>
      <w:pPr>
        <w:spacing w:after="160" w:line="276"/>
      </w:pPr>
      <w:r>
        <w:rPr>
          <w:color w:val="1F2937"/>
          <w:sz w:val="22"/>
          <w:szCs w:val="22"/>
        </w:rPr>
        <w:t xml:space="preserve">Daarbij komt een tweede vraag. Meridiaan overweegt een deel van het bouwwerk uit te besteden, en de beoogde leverancier heeft een architectuurvoorstel ingediend. Iemand moet dat beoordelen.</w:t>
      </w:r>
    </w:p>
    <w:p>
      <w:pPr>
        <w:spacing w:after="160" w:line="276"/>
      </w:pPr>
      <w:r>
        <w:rPr>
          <w:b/>
          <w:bCs/>
          <w:color w:val="1F2937"/>
          <w:sz w:val="22"/>
          <w:szCs w:val="22"/>
        </w:rPr>
        <w:t xml:space="preserve">Twee verschillende evaluaties dus:</w:t>
      </w:r>
      <w:r>
        <w:rPr>
          <w:color w:val="1F2937"/>
          <w:sz w:val="22"/>
          <w:szCs w:val="22"/>
        </w:rPr>
        <w:t xml:space="preserve"/>
      </w:r>
    </w:p>
    <w:p>
      <w:pPr>
        <w:pStyle w:val="ListParagraph"/>
        <w:numPr>
          <w:ilvl w:val="0"/>
          <w:numId w:val="3"/>
        </w:numPr>
        <w:spacing w:after="100"/>
      </w:pPr>
      <w:r>
        <w:rPr>
          <w:b/>
          <w:bCs/>
          <w:color w:val="1F2937"/>
          <w:sz w:val="22"/>
          <w:szCs w:val="22"/>
        </w:rPr>
        <w:t xml:space="preserve">Uw eigen architectuur</w:t>
      </w:r>
      <w:r>
        <w:rPr>
          <w:color w:val="1F2937"/>
          <w:sz w:val="22"/>
          <w:szCs w:val="22"/>
        </w:rPr>
        <w:t xml:space="preserve">, waarvan u alles weet en waarover u niet objectief bent;</w:t>
      </w:r>
    </w:p>
    <w:p>
      <w:pPr>
        <w:pStyle w:val="ListParagraph"/>
        <w:numPr>
          <w:ilvl w:val="0"/>
          <w:numId w:val="3"/>
        </w:numPr>
        <w:spacing w:after="100"/>
      </w:pPr>
      <w:r>
        <w:rPr>
          <w:b/>
          <w:bCs/>
          <w:color w:val="1F2937"/>
          <w:sz w:val="22"/>
          <w:szCs w:val="22"/>
        </w:rPr>
        <w:t xml:space="preserve">Die van een ander</w:t>
      </w:r>
      <w:r>
        <w:rPr>
          <w:color w:val="1F2937"/>
          <w:sz w:val="22"/>
          <w:szCs w:val="22"/>
        </w:rPr>
        <w:t xml:space="preserve">, waarvan u weinig weet en waarover u een oordeel moet geven met gevolgen.</w:t>
      </w:r>
    </w:p>
    <w:p>
      <w:pPr>
        <w:spacing w:after="160" w:line="276"/>
      </w:pPr>
      <w:r>
        <w:rPr>
          <w:color w:val="1F2937"/>
          <w:sz w:val="22"/>
          <w:szCs w:val="22"/>
        </w:rPr>
        <w:t xml:space="preserve">Dit deel behandelt beide, en de vaardigheden verschillen meer dan u zou verwachten.</w:t>
      </w:r>
    </w:p>
    <w:p>
      <w:pPr>
        <w:pStyle w:val="Heading1"/>
        <w:pBdr>
          <w:bottom w:val="single" w:color="E5E7EB" w:sz="6" w:space="6"/>
        </w:pBdr>
        <w:spacing w:after="180" w:before="380"/>
      </w:pPr>
      <w:r>
        <w:rPr>
          <w:b/>
          <w:bCs/>
          <w:color w:val="1F3A5F"/>
          <w:sz w:val="30"/>
          <w:szCs w:val="30"/>
        </w:rPr>
        <w:t xml:space="preserve">18.2 De volledige ATAM</w:t>
      </w:r>
    </w:p>
    <w:p>
      <w:pPr>
        <w:spacing w:after="160" w:line="276"/>
      </w:pPr>
      <w:r>
        <w:rPr>
          <w:color w:val="1F2937"/>
          <w:sz w:val="22"/>
          <w:szCs w:val="22"/>
        </w:rPr>
        <w:t xml:space="preserve">In deel 9 van niveau 1 hebt u de lichte variant uitgevoerd: één dagdeel, uw eigen drijvers, een handvol mensen. De volledige methode is zwaarder en zij is bedoeld voor besluitmomenten zoals dit.</w:t>
      </w:r>
    </w:p>
    <w:p>
      <w:pPr>
        <w:spacing w:after="160" w:line="276"/>
      </w:pPr>
      <w:r>
        <w:rPr>
          <w:b/>
          <w:bCs/>
          <w:color w:val="1F2937"/>
          <w:sz w:val="22"/>
          <w:szCs w:val="22"/>
        </w:rPr>
        <w:t xml:space="preserve">De kern is een tweefasige opzet.</w:t>
      </w:r>
      <w:r>
        <w:rPr>
          <w:color w:val="1F2937"/>
          <w:sz w:val="22"/>
          <w:szCs w:val="22"/>
        </w:rPr>
        <w:t xml:space="preserve"/>
      </w:r>
    </w:p>
    <w:p>
      <w:pPr>
        <w:spacing w:after="160" w:line="276"/>
      </w:pPr>
      <w:r>
        <w:rPr>
          <w:b/>
          <w:bCs/>
          <w:color w:val="1F2937"/>
          <w:sz w:val="22"/>
          <w:szCs w:val="22"/>
        </w:rPr>
        <w:t xml:space="preserve">Fase 1 — met de kerngroep</w:t>
      </w:r>
      <w:r>
        <w:rPr>
          <w:color w:val="1F2937"/>
          <w:sz w:val="22"/>
          <w:szCs w:val="22"/>
        </w:rPr>
        <w:t xml:space="preserve"> (architect, hoofdontwikkelaars, opdrachtgever, evaluatieteam). Een halve tot een hele dag. Hier worden de bedrijfsdoelen gepresenteerd, de architectuur toegelicht, de kwaliteitsboom gebouwd en de eerste analyse gedaan.</w:t>
      </w:r>
    </w:p>
    <w:p>
      <w:pPr>
        <w:spacing w:after="160" w:line="276"/>
      </w:pPr>
      <w:r>
        <w:rPr>
          <w:b/>
          <w:bCs/>
          <w:color w:val="1F2937"/>
          <w:sz w:val="22"/>
          <w:szCs w:val="22"/>
        </w:rPr>
        <w:t xml:space="preserve">Tussenperiode.</w:t>
      </w:r>
      <w:r>
        <w:rPr>
          <w:color w:val="1F2937"/>
          <w:sz w:val="22"/>
          <w:szCs w:val="22"/>
        </w:rPr>
        <w:t xml:space="preserve"> De evaluatoren werken de analyse uit en bereiden de tweede fase voor. Deze periode is geen formaliteit: hier ontstaan de vragen die in fase 2 het meest opleveren.</w:t>
      </w:r>
    </w:p>
    <w:p>
      <w:pPr>
        <w:spacing w:after="160" w:line="276"/>
      </w:pPr>
      <w:r>
        <w:rPr>
          <w:b/>
          <w:bCs/>
          <w:color w:val="1F2937"/>
          <w:sz w:val="22"/>
          <w:szCs w:val="22"/>
        </w:rPr>
        <w:t xml:space="preserve">Fase 2 — met de bredere groep</w:t>
      </w:r>
      <w:r>
        <w:rPr>
          <w:color w:val="1F2937"/>
          <w:sz w:val="22"/>
          <w:szCs w:val="22"/>
        </w:rPr>
        <w:t xml:space="preserve"> (fase 1 plus beheer, security, compliance, gebruikers, aangrenzende teams). Een dag. Hier worden aanvullende scenario's verzameld, geprioriteerd en geanalyseerd, en worden de bevindingen gepresenteerd.</w:t>
      </w:r>
    </w:p>
    <w:p>
      <w:pPr>
        <w:spacing w:after="160" w:line="276"/>
      </w:pPr>
      <w:r>
        <w:rPr>
          <w:b/>
          <w:bCs/>
          <w:color w:val="1F2937"/>
          <w:sz w:val="22"/>
          <w:szCs w:val="22"/>
        </w:rPr>
        <w:t xml:space="preserve">Waarom twee fasen.</w:t>
      </w:r>
      <w:r>
        <w:rPr>
          <w:color w:val="1F2937"/>
          <w:sz w:val="22"/>
          <w:szCs w:val="22"/>
        </w:rPr>
        <w:t xml:space="preserve"> De kerngroep kent het systeem en niet zijn eigen aannames; de bredere groep kent het systeem niet en ziet daardoor wat de kerngroep vanzelfsprekend vindt. Ze in één sessie samenbrengen leidt ertoe dat de kerngroep de agenda bepaalt en de rest luistert.</w:t>
      </w:r>
    </w:p>
    <w:p>
      <w:pPr>
        <w:spacing w:after="160" w:line="276"/>
      </w:pPr>
      <w:r>
        <w:rPr>
          <w:b/>
          <w:bCs/>
          <w:color w:val="1F2937"/>
          <w:sz w:val="22"/>
          <w:szCs w:val="22"/>
        </w:rPr>
        <w:t xml:space="preserve">De rolverdeling</w:t>
      </w:r>
      <w:r>
        <w:rPr>
          <w:color w:val="1F2937"/>
          <w:sz w:val="22"/>
          <w:szCs w:val="22"/>
        </w:rPr>
        <w:t xml:space="preserve"> die het verschil maakt:</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000"/>
        <w:gridCol w:w="6338"/>
      </w:tblGrid>
      <w:tr>
        <w:trPr>
          <w:tblHeader/>
        </w:trPr>
        <w:tc>
          <w:tcPr>
            <w:tcW w:type="dxa" w:w="3000"/>
            <w:shd w:fill="1F3A5F" w:val="clear"/>
            <w:tcMar>
              <w:top w:type="dxa" w:w="100"/>
              <w:left w:type="dxa" w:w="120"/>
              <w:bottom w:type="dxa" w:w="100"/>
              <w:right w:type="dxa" w:w="120"/>
            </w:tcMar>
            <w:vAlign w:val="center"/>
          </w:tcPr>
          <w:p>
            <w:r>
              <w:rPr>
                <w:b/>
                <w:bCs/>
                <w:color w:val="FFFFFF"/>
                <w:sz w:val="19"/>
                <w:szCs w:val="19"/>
              </w:rPr>
              <w:t xml:space="preserve">Rol</w:t>
            </w:r>
          </w:p>
        </w:tc>
        <w:tc>
          <w:tcPr>
            <w:tcW w:type="dxa" w:w="6338"/>
            <w:shd w:fill="1F3A5F" w:val="clear"/>
            <w:tcMar>
              <w:top w:type="dxa" w:w="100"/>
              <w:left w:type="dxa" w:w="120"/>
              <w:bottom w:type="dxa" w:w="100"/>
              <w:right w:type="dxa" w:w="120"/>
            </w:tcMar>
            <w:vAlign w:val="center"/>
          </w:tcPr>
          <w:p>
            <w:r>
              <w:rPr>
                <w:b/>
                <w:bCs/>
                <w:color w:val="FFFFFF"/>
                <w:sz w:val="19"/>
                <w:szCs w:val="19"/>
              </w:rPr>
              <w:t xml:space="preserve">Taak</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Evaluatieleider</w:t>
            </w:r>
          </w:p>
        </w:tc>
        <w:tc>
          <w:tcPr>
            <w:tcW w:type="dxa" w:w="6338"/>
            <w:tcMar>
              <w:top w:type="dxa" w:w="100"/>
              <w:left w:type="dxa" w:w="120"/>
              <w:bottom w:type="dxa" w:w="100"/>
              <w:right w:type="dxa" w:w="120"/>
            </w:tcMar>
            <w:vAlign w:val="center"/>
          </w:tcPr>
          <w:p>
            <w:r>
              <w:rPr>
                <w:b w:val="false"/>
                <w:bCs w:val="false"/>
                <w:color w:val="1F2937"/>
                <w:sz w:val="19"/>
                <w:szCs w:val="19"/>
              </w:rPr>
              <w:t xml:space="preserve">Bewaakt het proces, niet de inhoud. Stelt geen inhoudelijke vragen</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Vragensteller</w:t>
            </w:r>
          </w:p>
        </w:tc>
        <w:tc>
          <w:tcPr>
            <w:tcW w:type="dxa" w:w="6338"/>
            <w:tcMar>
              <w:top w:type="dxa" w:w="100"/>
              <w:left w:type="dxa" w:w="120"/>
              <w:bottom w:type="dxa" w:w="100"/>
              <w:right w:type="dxa" w:w="120"/>
            </w:tcMar>
            <w:vAlign w:val="center"/>
          </w:tcPr>
          <w:p>
            <w:r>
              <w:rPr>
                <w:b w:val="false"/>
                <w:bCs w:val="false"/>
                <w:color w:val="1F2937"/>
                <w:sz w:val="19"/>
                <w:szCs w:val="19"/>
              </w:rPr>
              <w:t xml:space="preserve">Stelt de scenariovragen, ook de ongemakkelijke</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Notulist</w:t>
            </w:r>
          </w:p>
        </w:tc>
        <w:tc>
          <w:tcPr>
            <w:tcW w:type="dxa" w:w="6338"/>
            <w:tcMar>
              <w:top w:type="dxa" w:w="100"/>
              <w:left w:type="dxa" w:w="120"/>
              <w:bottom w:type="dxa" w:w="100"/>
              <w:right w:type="dxa" w:w="120"/>
            </w:tcMar>
            <w:vAlign w:val="center"/>
          </w:tcPr>
          <w:p>
            <w:r>
              <w:rPr>
                <w:b w:val="false"/>
                <w:bCs w:val="false"/>
                <w:color w:val="1F2937"/>
                <w:sz w:val="19"/>
                <w:szCs w:val="19"/>
              </w:rPr>
              <w:t xml:space="preserve">Legt vast in de vier uitkomstsoorten, letterlijk</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Procesbewaker</w:t>
            </w:r>
          </w:p>
        </w:tc>
        <w:tc>
          <w:tcPr>
            <w:tcW w:type="dxa" w:w="6338"/>
            <w:tcMar>
              <w:top w:type="dxa" w:w="100"/>
              <w:left w:type="dxa" w:w="120"/>
              <w:bottom w:type="dxa" w:w="100"/>
              <w:right w:type="dxa" w:w="120"/>
            </w:tcMar>
            <w:vAlign w:val="center"/>
          </w:tcPr>
          <w:p>
            <w:r>
              <w:rPr>
                <w:b w:val="false"/>
                <w:bCs w:val="false"/>
                <w:color w:val="1F2937"/>
                <w:sz w:val="19"/>
                <w:szCs w:val="19"/>
              </w:rPr>
              <w:t xml:space="preserve">Let op wie niet aan het woord komt</w:t>
            </w:r>
          </w:p>
        </w:tc>
      </w:tr>
    </w:tbl>
    <w:p>
      <w:pPr>
        <w:spacing w:after="300"/>
      </w:pPr>
    </w:p>
    <w:p>
      <w:pPr>
        <w:spacing w:after="160" w:line="276"/>
      </w:pPr>
      <w:r>
        <w:rPr>
          <w:b/>
          <w:bCs/>
          <w:color w:val="1F2937"/>
          <w:sz w:val="22"/>
          <w:szCs w:val="22"/>
        </w:rPr>
        <w:t xml:space="preserve">De vierde rol is de meest onderschatte.</w:t>
      </w:r>
      <w:r>
        <w:rPr>
          <w:color w:val="1F2937"/>
          <w:sz w:val="22"/>
          <w:szCs w:val="22"/>
        </w:rPr>
        <w:t xml:space="preserve"> In elke evaluatie zijn er mensen die iets weten en het niet zeggen — omdat zij junior zijn, omdat hun afdeling niet aan tafel hoort, of omdat de architect aanwezig is. De procesbewaker haalt dat naar boven, en dat is doorgaans waar de zwaarste bevindingen vandaan komen.</w:t>
      </w:r>
    </w:p>
    <w:p>
      <w:pPr>
        <w:spacing w:after="160" w:line="276"/>
      </w:pPr>
      <w:r>
        <w:rPr>
          <w:b/>
          <w:bCs/>
          <w:color w:val="1F2937"/>
          <w:sz w:val="22"/>
          <w:szCs w:val="22"/>
        </w:rPr>
        <w:t xml:space="preserve">Wat de evaluatoren níét doen: </w:t>
      </w:r>
      <w:r>
        <w:rPr>
          <w:color w:val="1F2937"/>
          <w:sz w:val="22"/>
          <w:szCs w:val="22"/>
        </w:rPr>
        <w:t xml:space="preserve">de architectuur verbeteren. Zij stellen vast wat er is en waar de risico's zitten. Zodra evaluatoren ontwerpvoorstellen doen, verliezen zij hun positie — en de architect verliest zijn eigenaarschap.</w:t>
      </w:r>
    </w:p>
    <w:p>
      <w:pPr>
        <w:pStyle w:val="Heading1"/>
        <w:pBdr>
          <w:bottom w:val="single" w:color="E5E7EB" w:sz="6" w:space="6"/>
        </w:pBdr>
        <w:spacing w:after="180" w:before="380"/>
      </w:pPr>
      <w:r>
        <w:rPr>
          <w:b/>
          <w:bCs/>
          <w:color w:val="1F3A5F"/>
          <w:sz w:val="30"/>
          <w:szCs w:val="30"/>
        </w:rPr>
        <w:t xml:space="preserve">18.3 Evaluatie schalen</w:t>
      </w:r>
    </w:p>
    <w:p>
      <w:pPr>
        <w:spacing w:after="160" w:line="276"/>
      </w:pPr>
      <w:r>
        <w:rPr>
          <w:color w:val="1F2937"/>
          <w:sz w:val="22"/>
          <w:szCs w:val="22"/>
        </w:rPr>
        <w:t xml:space="preserve">Niet elke vraag verdient twee dagen. Vier vormen, met hun toepassing:</w:t>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900"/>
        <w:gridCol w:w="2200"/>
        <w:gridCol w:w="4238"/>
      </w:tblGrid>
      <w:tr>
        <w:trPr>
          <w:tblHeader/>
        </w:trPr>
        <w:tc>
          <w:tcPr>
            <w:tcW w:type="dxa" w:w="29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2200"/>
            <w:shd w:fill="1F3A5F" w:val="clear"/>
            <w:tcMar>
              <w:top w:type="dxa" w:w="100"/>
              <w:left w:type="dxa" w:w="120"/>
              <w:bottom w:type="dxa" w:w="100"/>
              <w:right w:type="dxa" w:w="120"/>
            </w:tcMar>
            <w:vAlign w:val="center"/>
          </w:tcPr>
          <w:p>
            <w:r>
              <w:rPr>
                <w:b/>
                <w:bCs/>
                <w:color w:val="FFFFFF"/>
                <w:sz w:val="19"/>
                <w:szCs w:val="19"/>
              </w:rPr>
              <w:t xml:space="preserve">Duur</w:t>
            </w:r>
          </w:p>
        </w:tc>
        <w:tc>
          <w:tcPr>
            <w:tcW w:type="dxa" w:w="4238"/>
            <w:shd w:fill="1F3A5F" w:val="clear"/>
            <w:tcMar>
              <w:top w:type="dxa" w:w="100"/>
              <w:left w:type="dxa" w:w="120"/>
              <w:bottom w:type="dxa" w:w="100"/>
              <w:right w:type="dxa" w:w="120"/>
            </w:tcMar>
            <w:vAlign w:val="center"/>
          </w:tcPr>
          <w:p>
            <w:r>
              <w:rPr>
                <w:b/>
                <w:bCs/>
                <w:color w:val="FFFFFF"/>
                <w:sz w:val="19"/>
                <w:szCs w:val="19"/>
              </w:rPr>
              <w:t xml:space="preserve">Wanneer</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Drijvertoets</w:t>
            </w:r>
          </w:p>
        </w:tc>
        <w:tc>
          <w:tcPr>
            <w:tcW w:type="dxa" w:w="2200"/>
            <w:tcMar>
              <w:top w:type="dxa" w:w="100"/>
              <w:left w:type="dxa" w:w="120"/>
              <w:bottom w:type="dxa" w:w="100"/>
              <w:right w:type="dxa" w:w="120"/>
            </w:tcMar>
            <w:vAlign w:val="center"/>
          </w:tcPr>
          <w:p>
            <w:r>
              <w:rPr>
                <w:b w:val="false"/>
                <w:bCs w:val="false"/>
                <w:color w:val="1F2937"/>
                <w:sz w:val="19"/>
                <w:szCs w:val="19"/>
              </w:rPr>
              <w:t xml:space="preserve">1 uur</w:t>
            </w:r>
          </w:p>
        </w:tc>
        <w:tc>
          <w:tcPr>
            <w:tcW w:type="dxa" w:w="4238"/>
            <w:tcMar>
              <w:top w:type="dxa" w:w="100"/>
              <w:left w:type="dxa" w:w="120"/>
              <w:bottom w:type="dxa" w:w="100"/>
              <w:right w:type="dxa" w:w="120"/>
            </w:tcMar>
            <w:vAlign w:val="center"/>
          </w:tcPr>
          <w:p>
            <w:r>
              <w:rPr>
                <w:b w:val="false"/>
                <w:bCs w:val="false"/>
                <w:color w:val="1F2937"/>
                <w:sz w:val="19"/>
                <w:szCs w:val="19"/>
              </w:rPr>
              <w:t xml:space="preserve">Bij een enkele beslissing: haalt dit ontwerp mijn vier drijvers?</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Lichte evaluatie</w:t>
            </w:r>
          </w:p>
        </w:tc>
        <w:tc>
          <w:tcPr>
            <w:tcW w:type="dxa" w:w="2200"/>
            <w:tcMar>
              <w:top w:type="dxa" w:w="100"/>
              <w:left w:type="dxa" w:w="120"/>
              <w:bottom w:type="dxa" w:w="100"/>
              <w:right w:type="dxa" w:w="120"/>
            </w:tcMar>
            <w:vAlign w:val="center"/>
          </w:tcPr>
          <w:p>
            <w:r>
              <w:rPr>
                <w:b w:val="false"/>
                <w:bCs w:val="false"/>
                <w:color w:val="1F2937"/>
                <w:sz w:val="19"/>
                <w:szCs w:val="19"/>
              </w:rPr>
              <w:t xml:space="preserve">1 dagdeel</w:t>
            </w:r>
          </w:p>
        </w:tc>
        <w:tc>
          <w:tcPr>
            <w:tcW w:type="dxa" w:w="4238"/>
            <w:tcMar>
              <w:top w:type="dxa" w:w="100"/>
              <w:left w:type="dxa" w:w="120"/>
              <w:bottom w:type="dxa" w:w="100"/>
              <w:right w:type="dxa" w:w="120"/>
            </w:tcMar>
            <w:vAlign w:val="center"/>
          </w:tcPr>
          <w:p>
            <w:r>
              <w:rPr>
                <w:b w:val="false"/>
                <w:bCs w:val="false"/>
                <w:color w:val="1F2937"/>
                <w:sz w:val="19"/>
                <w:szCs w:val="19"/>
              </w:rPr>
              <w:t xml:space="preserve">Bij een kwartaalherziening of een nieuwe module (deel 9)</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Volledige ATAM</w:t>
            </w:r>
          </w:p>
        </w:tc>
        <w:tc>
          <w:tcPr>
            <w:tcW w:type="dxa" w:w="2200"/>
            <w:tcMar>
              <w:top w:type="dxa" w:w="100"/>
              <w:left w:type="dxa" w:w="120"/>
              <w:bottom w:type="dxa" w:w="100"/>
              <w:right w:type="dxa" w:w="120"/>
            </w:tcMar>
            <w:vAlign w:val="center"/>
          </w:tcPr>
          <w:p>
            <w:r>
              <w:rPr>
                <w:b w:val="false"/>
                <w:bCs w:val="false"/>
                <w:color w:val="1F2937"/>
                <w:sz w:val="19"/>
                <w:szCs w:val="19"/>
              </w:rPr>
              <w:t xml:space="preserve">2 dagen, tweefasig</w:t>
            </w:r>
          </w:p>
        </w:tc>
        <w:tc>
          <w:tcPr>
            <w:tcW w:type="dxa" w:w="4238"/>
            <w:tcMar>
              <w:top w:type="dxa" w:w="100"/>
              <w:left w:type="dxa" w:w="120"/>
              <w:bottom w:type="dxa" w:w="100"/>
              <w:right w:type="dxa" w:w="120"/>
            </w:tcMar>
            <w:vAlign w:val="center"/>
          </w:tcPr>
          <w:p>
            <w:r>
              <w:rPr>
                <w:b w:val="false"/>
                <w:bCs w:val="false"/>
                <w:color w:val="1F2937"/>
                <w:sz w:val="19"/>
                <w:szCs w:val="19"/>
              </w:rPr>
              <w:t xml:space="preserve">Bij een besluitmoment, een grote wijziging, of een overname</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Documentgebaseerde beoordeling</w:t>
            </w:r>
          </w:p>
        </w:tc>
        <w:tc>
          <w:tcPr>
            <w:tcW w:type="dxa" w:w="2200"/>
            <w:tcMar>
              <w:top w:type="dxa" w:w="100"/>
              <w:left w:type="dxa" w:w="120"/>
              <w:bottom w:type="dxa" w:w="100"/>
              <w:right w:type="dxa" w:w="120"/>
            </w:tcMar>
            <w:vAlign w:val="center"/>
          </w:tcPr>
          <w:p>
            <w:r>
              <w:rPr>
                <w:b w:val="false"/>
                <w:bCs w:val="false"/>
                <w:color w:val="1F2937"/>
                <w:sz w:val="19"/>
                <w:szCs w:val="19"/>
              </w:rPr>
              <w:t xml:space="preserve">variabel</w:t>
            </w:r>
          </w:p>
        </w:tc>
        <w:tc>
          <w:tcPr>
            <w:tcW w:type="dxa" w:w="4238"/>
            <w:tcMar>
              <w:top w:type="dxa" w:w="100"/>
              <w:left w:type="dxa" w:w="120"/>
              <w:bottom w:type="dxa" w:w="100"/>
              <w:right w:type="dxa" w:w="120"/>
            </w:tcMar>
            <w:vAlign w:val="center"/>
          </w:tcPr>
          <w:p>
            <w:r>
              <w:rPr>
                <w:b w:val="false"/>
                <w:bCs w:val="false"/>
                <w:color w:val="1F2937"/>
                <w:sz w:val="19"/>
                <w:szCs w:val="19"/>
              </w:rPr>
              <w:t xml:space="preserve">Bij het beoordelen van een ontwerp van een ander</w:t>
            </w:r>
          </w:p>
        </w:tc>
      </w:tr>
    </w:tbl>
    <w:p>
      <w:pPr>
        <w:spacing w:after="300"/>
      </w:pPr>
    </w:p>
    <w:p>
      <w:pPr>
        <w:spacing w:after="160" w:line="276"/>
      </w:pPr>
      <w:r>
        <w:rPr>
          <w:b/>
          <w:bCs/>
          <w:color w:val="1F2937"/>
          <w:sz w:val="22"/>
          <w:szCs w:val="22"/>
        </w:rPr>
        <w:t xml:space="preserve">De keuze volgt uit twee vragen:</w:t>
      </w:r>
      <w:r>
        <w:rPr>
          <w:color w:val="1F2937"/>
          <w:sz w:val="22"/>
          <w:szCs w:val="22"/>
        </w:rPr>
        <w:t xml:space="preserve"> hoeveel hangt er van de uitkomst af, en hoeveel weten wij nog niet? Bij weinig van beide volstaat een uur.</w:t>
      </w:r>
    </w:p>
    <w:p>
      <w:pPr>
        <w:spacing w:after="160" w:line="276"/>
      </w:pPr>
      <w:r>
        <w:rPr>
          <w:b/>
          <w:bCs/>
          <w:color w:val="1F2937"/>
          <w:sz w:val="22"/>
          <w:szCs w:val="22"/>
        </w:rPr>
        <w:t xml:space="preserve">De meest voorkomende fout</w:t>
      </w:r>
      <w:r>
        <w:rPr>
          <w:color w:val="1F2937"/>
          <w:sz w:val="22"/>
          <w:szCs w:val="22"/>
        </w:rPr>
        <w:t xml:space="preserve"> is de zwaarste vorm kiezen om de uitkomst gewicht te geven. Een tweedaagse evaluatie waarvan de conclusie in een uur te trekken was, ondermijnt het instrument: de volgende keer maakt niemand meer tijd vrij.</w:t>
      </w:r>
    </w:p>
    <w:p>
      <w:pPr>
        <w:pStyle w:val="Heading1"/>
        <w:pBdr>
          <w:bottom w:val="single" w:color="E5E7EB" w:sz="6" w:space="6"/>
        </w:pBdr>
        <w:spacing w:after="180" w:before="380"/>
      </w:pPr>
      <w:r>
        <w:rPr>
          <w:b/>
          <w:bCs/>
          <w:color w:val="1F3A5F"/>
          <w:sz w:val="30"/>
          <w:szCs w:val="30"/>
        </w:rPr>
        <w:t xml:space="preserve">18.4 Kwantitatieve analyse</w:t>
      </w:r>
    </w:p>
    <w:p>
      <w:pPr>
        <w:spacing w:after="160" w:line="276"/>
      </w:pPr>
      <w:r>
        <w:rPr>
          <w:color w:val="1F2937"/>
          <w:sz w:val="22"/>
          <w:szCs w:val="22"/>
        </w:rPr>
        <w:t xml:space="preserve">Scenariogebaseerd evalueren levert kwalitatieve oordelen op. Sommige vragen zijn te rekenen, en dat is aanzienlijk overtuigender.</w:t>
      </w:r>
    </w:p>
    <w:p>
      <w:pPr>
        <w:pStyle w:val="Heading2"/>
        <w:spacing w:after="140" w:before="260"/>
      </w:pPr>
      <w:r>
        <w:rPr>
          <w:b/>
          <w:bCs/>
          <w:color w:val="4A6789"/>
          <w:sz w:val="24"/>
          <w:szCs w:val="24"/>
        </w:rPr>
        <w:t xml:space="preserve">Wachtrijredenering</w:t>
      </w:r>
    </w:p>
    <w:p>
      <w:pPr>
        <w:spacing w:after="160" w:line="276"/>
      </w:pPr>
      <w:r>
        <w:rPr>
          <w:color w:val="1F2937"/>
          <w:sz w:val="22"/>
          <w:szCs w:val="22"/>
        </w:rPr>
        <w:t xml:space="preserve">De belangrijkste rekenvorm voor dit systeem, en zij vraagt geen zware wiskunde.</w:t>
      </w:r>
    </w:p>
    <w:p>
      <w:pPr>
        <w:spacing w:after="160" w:line="276"/>
      </w:pPr>
      <w:r>
        <w:rPr>
          <w:b/>
          <w:bCs/>
          <w:color w:val="1F2937"/>
          <w:sz w:val="22"/>
          <w:szCs w:val="22"/>
        </w:rPr>
        <w:t xml:space="preserve">Het kernpunt:</w:t>
      </w:r>
      <w:r>
        <w:rPr>
          <w:color w:val="1F2937"/>
          <w:sz w:val="22"/>
          <w:szCs w:val="22"/>
        </w:rPr>
        <w:t xml:space="preserve"> wanneer de aankomstsnelheid de verwerkingssnelheid nadert, groeit de wachttijd niet lineair maar explosief. Bij 50% benutting is de wachttijd ongeveer gelijk aan de bedieningstijd; bij 90% is zij een veelvoud daarvan; bij 95% loopt zij weg.</w:t>
      </w:r>
    </w:p>
    <w:p>
      <w:pPr>
        <w:spacing w:after="160" w:line="276"/>
      </w:pPr>
      <w:r>
        <w:rPr>
          <w:b/>
          <w:bCs/>
          <w:color w:val="1F2937"/>
          <w:sz w:val="22"/>
          <w:szCs w:val="22"/>
        </w:rPr>
        <w:t xml:space="preserve">Voor Mutatie 2.0:</w:t>
      </w:r>
      <w:r>
        <w:rPr>
          <w:color w:val="1F2937"/>
          <w:sz w:val="22"/>
          <w:szCs w:val="22"/>
        </w:rPr>
        <w:t xml:space="preserve"> de kernadministratie verwerkt 20 aanroepen per seconde. Bij 10 per seconde is er ruimte; bij 18 per seconde zit u op 90% benutting en zijn de wachttijden onvoorspelbaar geworden — terwijl er nog “capaciteit over” lijkt.</w:t>
      </w:r>
    </w:p>
    <w:p>
      <w:pPr>
        <w:spacing w:after="160" w:line="276"/>
      </w:pPr>
      <w:r>
        <w:rPr>
          <w:b/>
          <w:bCs/>
          <w:color w:val="1F2937"/>
          <w:sz w:val="22"/>
          <w:szCs w:val="22"/>
        </w:rPr>
        <w:t xml:space="preserve">Dat is het inzicht dat elke capaciteitsdiscussie verandert:</w:t>
      </w:r>
      <w:r>
        <w:rPr>
          <w:color w:val="1F2937"/>
          <w:sz w:val="22"/>
          <w:szCs w:val="22"/>
        </w:rPr>
        <w:t xml:space="preserve"> een systeem op 90% benutting is niet voor 90% belast maar praktisch vol. Wie plant op gemiddelde benutting, plant op de rand van instabiliteit.</w:t>
      </w:r>
    </w:p>
    <w:p>
      <w:pPr>
        <w:spacing w:after="160" w:line="276"/>
      </w:pPr>
      <w:r>
        <w:rPr>
          <w:color w:val="1F2937"/>
          <w:sz w:val="22"/>
          <w:szCs w:val="22"/>
        </w:rPr>
        <w:t xml:space="preserve">Het verklaart ook de meting uit deel 6 van niveau 1 exact: bij één gebruiker was er geen wachtrij, bij vijftig gelijktijdige gebruikers zat het koppelvlak boven zijn verwerkingssnelheid, en de doorlooptijd sprong van 6 naar 90 seconden. Dat was met een rekensom te voorzien.</w:t>
      </w:r>
    </w:p>
    <w:p>
      <w:pPr>
        <w:pStyle w:val="Heading2"/>
        <w:spacing w:after="140" w:before="260"/>
      </w:pPr>
      <w:r>
        <w:rPr>
          <w:b/>
          <w:bCs/>
          <w:color w:val="4A6789"/>
          <w:sz w:val="24"/>
          <w:szCs w:val="24"/>
        </w:rPr>
        <w:t xml:space="preserve">Beschikbaarheidsrekenwerk</w:t>
      </w:r>
    </w:p>
    <w:p>
      <w:pPr>
        <w:spacing w:after="160" w:line="276"/>
      </w:pPr>
      <w:r>
        <w:rPr>
          <w:b/>
          <w:bCs/>
          <w:color w:val="1F2937"/>
          <w:sz w:val="22"/>
          <w:szCs w:val="22"/>
        </w:rPr>
        <w:t xml:space="preserve">Componenten in serie:</w:t>
      </w:r>
      <w:r>
        <w:rPr>
          <w:color w:val="1F2937"/>
          <w:sz w:val="22"/>
          <w:szCs w:val="22"/>
        </w:rPr>
        <w:t xml:space="preserve"> de beschikbaarheden vermenigvuldigen. Drie componenten van elk 99,9% geven samen 99,7%. Elke afhankelijkheid in het kritieke pad verlaagt uw beschikbaarheid, en dat is een argument tegen lange synchrone ketens dat u kunt rekenen in plaats van beweren.</w:t>
      </w:r>
    </w:p>
    <w:p>
      <w:pPr>
        <w:spacing w:after="160" w:line="276"/>
      </w:pPr>
      <w:r>
        <w:rPr>
          <w:b/>
          <w:bCs/>
          <w:color w:val="1F2937"/>
          <w:sz w:val="22"/>
          <w:szCs w:val="22"/>
        </w:rPr>
        <w:t xml:space="preserve">Componenten parallel:</w:t>
      </w:r>
      <w:r>
        <w:rPr>
          <w:color w:val="1F2937"/>
          <w:sz w:val="22"/>
          <w:szCs w:val="22"/>
        </w:rPr>
        <w:t xml:space="preserve"> de onbeschikbaarheden vermenigvuldigen. Twee instanties van elk 99% geven samen 99,99% — mits zij werkelijk onafhankelijk falen. Dat laatste is de aanname die het vaakst niet klopt: twee instanties op dezelfde infrastructuur, met dezelfde database of dezelfde configuratiefout, vallen samen om.</w:t>
      </w:r>
    </w:p>
    <w:p>
      <w:pPr>
        <w:spacing w:after="160" w:line="276"/>
      </w:pPr>
      <w:r>
        <w:rPr>
          <w:b/>
          <w:bCs/>
          <w:color w:val="1F2937"/>
          <w:sz w:val="22"/>
          <w:szCs w:val="22"/>
        </w:rPr>
        <w:t xml:space="preserve">De praktische toepassing:</w:t>
      </w:r>
      <w:r>
        <w:rPr>
          <w:color w:val="1F2937"/>
          <w:sz w:val="22"/>
          <w:szCs w:val="22"/>
        </w:rPr>
        <w:t xml:space="preserve"> reken uw kritieke pad door en kijk of de uitkomst overeenkomt met wat u belooft. Bij Mutatie 2.0 is de asynchrone doorgifte uit ADR-014 hier de sleutel — zij haalt de kernadministratie uít het kritieke pad, en dat is beschikbaarheidsrekenkundig het verschil tussen wel en niet halen.</w:t>
      </w:r>
    </w:p>
    <w:p>
      <w:pPr>
        <w:pStyle w:val="Heading2"/>
        <w:spacing w:after="140" w:before="260"/>
      </w:pPr>
      <w:r>
        <w:rPr>
          <w:b/>
          <w:bCs/>
          <w:color w:val="4A6789"/>
          <w:sz w:val="24"/>
          <w:szCs w:val="24"/>
        </w:rPr>
        <w:t xml:space="preserve">Gevoeligheidsanalyse</w:t>
      </w:r>
    </w:p>
    <w:p>
      <w:pPr>
        <w:spacing w:after="160" w:line="276"/>
      </w:pPr>
      <w:r>
        <w:rPr>
          <w:b/>
          <w:bCs/>
          <w:color w:val="1F2937"/>
          <w:sz w:val="22"/>
          <w:szCs w:val="22"/>
        </w:rPr>
        <w:t xml:space="preserve">Voor elk gevoelig punt uit de evaluatie:</w:t>
      </w:r>
      <w:r>
        <w:rPr>
          <w:color w:val="1F2937"/>
          <w:sz w:val="22"/>
          <w:szCs w:val="22"/>
        </w:rPr>
        <w:t xml:space="preserve"> bij welke waarde kantelt het?</w:t>
      </w:r>
    </w:p>
    <w:p>
      <w:pPr>
        <w:spacing w:after="160" w:line="276"/>
      </w:pPr>
      <w:r>
        <w:rPr>
          <w:color w:val="1F2937"/>
          <w:sz w:val="22"/>
          <w:szCs w:val="22"/>
        </w:rPr>
        <w:t xml:space="preserve">Voorbeelden voor dit systeem:</w:t>
      </w:r>
    </w:p>
    <w:p>
      <w:pPr>
        <w:pStyle w:val="ListParagraph"/>
        <w:numPr>
          <w:ilvl w:val="0"/>
          <w:numId w:val="3"/>
        </w:numPr>
        <w:spacing w:after="100"/>
      </w:pPr>
      <w:r>
        <w:rPr>
          <w:color w:val="1F2937"/>
          <w:sz w:val="22"/>
          <w:szCs w:val="22"/>
        </w:rPr>
        <w:t xml:space="preserve">Bij welke geldigheidsduur van het leesmodel wordt de actualiteit een probleem voor de behandelaar?</w:t>
      </w:r>
    </w:p>
    <w:p>
      <w:pPr>
        <w:pStyle w:val="ListParagraph"/>
        <w:numPr>
          <w:ilvl w:val="0"/>
          <w:numId w:val="3"/>
        </w:numPr>
        <w:spacing w:after="100"/>
      </w:pPr>
      <w:r>
        <w:rPr>
          <w:color w:val="1F2937"/>
          <w:sz w:val="22"/>
          <w:szCs w:val="22"/>
        </w:rPr>
        <w:t xml:space="preserve">Bij hoeveel gelijktijdige gebruikers wordt QS-1 onhaalbaar?</w:t>
      </w:r>
    </w:p>
    <w:p>
      <w:pPr>
        <w:pStyle w:val="ListParagraph"/>
        <w:numPr>
          <w:ilvl w:val="0"/>
          <w:numId w:val="3"/>
        </w:numPr>
        <w:spacing w:after="100"/>
      </w:pPr>
      <w:r>
        <w:rPr>
          <w:color w:val="1F2937"/>
          <w:sz w:val="22"/>
          <w:szCs w:val="22"/>
        </w:rPr>
        <w:t xml:space="preserve">Bij welk batchvolume past de conversie niet meer in het nachtvenster?</w:t>
      </w:r>
    </w:p>
    <w:p>
      <w:pPr>
        <w:pStyle w:val="ListParagraph"/>
        <w:numPr>
          <w:ilvl w:val="0"/>
          <w:numId w:val="3"/>
        </w:numPr>
        <w:spacing w:after="100"/>
      </w:pPr>
      <w:r>
        <w:rPr>
          <w:color w:val="1F2937"/>
          <w:sz w:val="22"/>
          <w:szCs w:val="22"/>
        </w:rPr>
        <w:t xml:space="preserve">Bij hoeveel teams wordt de modulith onhoudbaar?</w:t>
      </w:r>
    </w:p>
    <w:p>
      <w:pPr>
        <w:spacing w:after="160" w:line="276"/>
      </w:pPr>
      <w:r>
        <w:rPr>
          <w:b/>
          <w:bCs/>
          <w:color w:val="1F2937"/>
          <w:sz w:val="22"/>
          <w:szCs w:val="22"/>
        </w:rPr>
        <w:t xml:space="preserve">Het antwoord is een getal, en dat getal is de herzieningsgrens.</w:t>
      </w:r>
      <w:r>
        <w:rPr>
          <w:color w:val="1F2937"/>
          <w:sz w:val="22"/>
          <w:szCs w:val="22"/>
        </w:rPr>
        <w:t xml:space="preserve"> Dit is de verbinding met deel 2 en deel 13: een herzieningsgrens die uit een gevoeligheidsanalyse komt, is verdedigbaar; een grens die op gevoel is gekozen, wordt bij de eerste discussie weggeredeneerd.</w:t>
      </w:r>
    </w:p>
    <w:p>
      <w:pPr>
        <w:pStyle w:val="Heading1"/>
        <w:pBdr>
          <w:bottom w:val="single" w:color="E5E7EB" w:sz="6" w:space="6"/>
        </w:pBdr>
        <w:spacing w:after="180" w:before="380"/>
      </w:pPr>
      <w:r>
        <w:rPr>
          <w:b/>
          <w:bCs/>
          <w:color w:val="1F3A5F"/>
          <w:sz w:val="30"/>
          <w:szCs w:val="30"/>
        </w:rPr>
        <w:t xml:space="preserve">18.5 De uitkomsten ordenen</w:t>
      </w:r>
    </w:p>
    <w:p>
      <w:pPr>
        <w:spacing w:after="160" w:line="276"/>
      </w:pPr>
      <w:r>
        <w:rPr>
          <w:color w:val="1F2937"/>
          <w:sz w:val="22"/>
          <w:szCs w:val="22"/>
        </w:rPr>
        <w:t xml:space="preserve">Uit deel 9 kent u de vier soorten: risico, niet-risico, gevoelig punt, trade-offpunt. Op dit niveau komt er ordening bij.</w:t>
      </w:r>
    </w:p>
    <w:p>
      <w:pPr>
        <w:spacing w:after="160" w:line="276"/>
      </w:pPr>
      <w:r>
        <w:rPr>
          <w:b/>
          <w:bCs/>
          <w:color w:val="1F2937"/>
          <w:sz w:val="22"/>
          <w:szCs w:val="22"/>
        </w:rPr>
        <w:t xml:space="preserve">Risicothema's.</w:t>
      </w:r>
      <w:r>
        <w:rPr>
          <w:color w:val="1F2937"/>
          <w:sz w:val="22"/>
          <w:szCs w:val="22"/>
        </w:rPr>
        <w:t xml:space="preserve"> Losse risico's zijn moeilijk te bespreken; groepeer ze. Voor Mutatie 2.0 clusteren de bevindingen doorgaans in drie thema's: afhankelijkheid van de kernadministratie, handhaving van ontwerpregels, en aantoonbaarheid onder toezicht. Een stuurgroep kan drie thema's wegen; twintig losse risico's niet.</w:t>
      </w:r>
    </w:p>
    <w:p>
      <w:pPr>
        <w:spacing w:after="160" w:line="276"/>
      </w:pPr>
      <w:r>
        <w:rPr>
          <w:b/>
          <w:bCs/>
          <w:color w:val="1F2937"/>
          <w:sz w:val="22"/>
          <w:szCs w:val="22"/>
        </w:rPr>
        <w:t xml:space="preserve">Prioriteren op twee assen</w:t>
      </w:r>
      <w:r>
        <w:rPr>
          <w:color w:val="1F2937"/>
          <w:sz w:val="22"/>
          <w:szCs w:val="22"/>
        </w:rPr>
        <w:t xml:space="preserve"> — dezelfde als in deel 2: hoeveel raakt het een bedrijfsdoel, en hoe waarschijnlijk is het. De combinatie hoog-hoog krijgt een eigenaar en een termijn; de rest wordt genoteerd.</w:t>
      </w:r>
    </w:p>
    <w:p>
      <w:pPr>
        <w:spacing w:after="160" w:line="276"/>
      </w:pPr>
      <w:r>
        <w:rPr>
          <w:b/>
          <w:bCs/>
          <w:color w:val="1F2937"/>
          <w:sz w:val="22"/>
          <w:szCs w:val="22"/>
        </w:rPr>
        <w:t xml:space="preserve">Overdragen.</w:t>
      </w:r>
      <w:r>
        <w:rPr>
          <w:color w:val="1F2937"/>
          <w:sz w:val="22"/>
          <w:szCs w:val="22"/>
        </w:rPr>
        <w:t xml:space="preserve"> Een evaluatierapport dat bij de architect blijft liggen, verandert niets. Elk risico gaat naar de partij die erover kan beslissen — en dat is vaak niet de architect. Dit is hetzelfde patroon als in deel 14, 15 en 16.</w:t>
      </w:r>
    </w:p>
    <w:p>
      <w:pPr>
        <w:spacing w:after="160" w:line="276"/>
      </w:pPr>
      <w:r>
        <w:rPr>
          <w:b/>
          <w:bCs/>
          <w:color w:val="1F2937"/>
          <w:sz w:val="22"/>
          <w:szCs w:val="22"/>
        </w:rPr>
        <w:t xml:space="preserve">Wat u niet doet:</w:t>
      </w:r>
      <w:r>
        <w:rPr>
          <w:color w:val="1F2937"/>
          <w:sz w:val="22"/>
          <w:szCs w:val="22"/>
        </w:rPr>
        <w:t xml:space="preserve"> een cijfer geven. Een architectuur scoort geen zeven. Wie een cijfer levert, krijgt de vraag waarom het geen negen is en verliest het gesprek over de inhoud.</w:t>
      </w:r>
    </w:p>
    <w:p>
      <w:pPr>
        <w:pStyle w:val="Heading1"/>
        <w:pBdr>
          <w:bottom w:val="single" w:color="E5E7EB" w:sz="6" w:space="6"/>
        </w:pBdr>
        <w:spacing w:after="180" w:before="380"/>
      </w:pPr>
      <w:r>
        <w:rPr>
          <w:b/>
          <w:bCs/>
          <w:color w:val="1F3A5F"/>
          <w:sz w:val="30"/>
          <w:szCs w:val="30"/>
        </w:rPr>
        <w:t xml:space="preserve">18.6 Het ontwerp van een ander beoordelen</w:t>
      </w:r>
    </w:p>
    <w:p>
      <w:pPr>
        <w:spacing w:after="160" w:line="276"/>
      </w:pPr>
      <w:r>
        <w:rPr>
          <w:color w:val="1F2937"/>
          <w:sz w:val="22"/>
          <w:szCs w:val="22"/>
        </w:rPr>
        <w:t xml:space="preserve">Dit is een andere vaardigheid dan uw eigen architectuur evalueren, en hij komt in de praktijk vaker voor.</w:t>
      </w:r>
    </w:p>
    <w:p>
      <w:pPr>
        <w:spacing w:after="160" w:line="276"/>
      </w:pPr>
      <w:r>
        <w:rPr>
          <w:b/>
          <w:bCs/>
          <w:color w:val="1F2937"/>
          <w:sz w:val="22"/>
          <w:szCs w:val="22"/>
        </w:rPr>
        <w:t xml:space="preserve">Het verschil:</w:t>
      </w:r>
      <w:r>
        <w:rPr>
          <w:color w:val="1F2937"/>
          <w:sz w:val="22"/>
          <w:szCs w:val="22"/>
        </w:rPr>
        <w:t xml:space="preserve"> u hebt geen toegang tot de mensen, geen kennis van de geschiedenis, en een oordeel met gevolgen — voor een leverancier, voor een contract, soms voor collega's.</w:t>
      </w:r>
    </w:p>
    <w:p>
      <w:pPr>
        <w:spacing w:after="160" w:line="276"/>
      </w:pPr>
      <w:r>
        <w:rPr>
          <w:b/>
          <w:bCs/>
          <w:color w:val="1F2937"/>
          <w:sz w:val="22"/>
          <w:szCs w:val="22"/>
        </w:rPr>
        <w:t xml:space="preserve">De zes vragen die het meeste opleveren:</w:t>
      </w:r>
      <w:r>
        <w:rPr>
          <w:color w:val="1F2937"/>
          <w:sz w:val="22"/>
          <w:szCs w:val="22"/>
        </w:rPr>
        <w:t xml:space="preserve"/>
      </w:r>
    </w:p>
    <w:p>
      <w:pPr>
        <w:pStyle w:val="ListParagraph"/>
        <w:numPr>
          <w:ilvl w:val="0"/>
          <w:numId w:val="4"/>
        </w:numPr>
        <w:spacing w:after="120"/>
      </w:pPr>
      <w:r>
        <w:rPr>
          <w:b/>
          <w:bCs/>
          <w:color w:val="1F2937"/>
          <w:sz w:val="22"/>
          <w:szCs w:val="22"/>
        </w:rPr>
        <w:t xml:space="preserve">Welke kwaliteitseisen zijn geoperationaliseerd?</w:t>
      </w:r>
      <w:r>
        <w:rPr>
          <w:color w:val="1F2937"/>
          <w:sz w:val="22"/>
          <w:szCs w:val="22"/>
        </w:rPr>
        <w:t xml:space="preserve"> Als het voorstel “hoge beschikbaarheid” belooft zonder scenario, is dat B2 uit niveau 1 in een offerte.</w:t>
      </w:r>
    </w:p>
    <w:p>
      <w:pPr>
        <w:pStyle w:val="ListParagraph"/>
        <w:numPr>
          <w:ilvl w:val="0"/>
          <w:numId w:val="4"/>
        </w:numPr>
        <w:spacing w:after="120"/>
      </w:pPr>
      <w:r>
        <w:rPr>
          <w:b/>
          <w:bCs/>
          <w:color w:val="1F2937"/>
          <w:sz w:val="22"/>
          <w:szCs w:val="22"/>
        </w:rPr>
        <w:t xml:space="preserve">Welke alternatieven zijn afgewogen, en op welke gronden?</w:t>
      </w:r>
      <w:r>
        <w:rPr>
          <w:color w:val="1F2937"/>
          <w:sz w:val="22"/>
          <w:szCs w:val="22"/>
        </w:rPr>
        <w:t xml:space="preserve"> Een voorstel zonder afgewezen alternatieven is een voorkeur, geen ontwerp.</w:t>
      </w:r>
    </w:p>
    <w:p>
      <w:pPr>
        <w:pStyle w:val="ListParagraph"/>
        <w:numPr>
          <w:ilvl w:val="0"/>
          <w:numId w:val="4"/>
        </w:numPr>
        <w:spacing w:after="120"/>
      </w:pPr>
      <w:r>
        <w:rPr>
          <w:b/>
          <w:bCs/>
          <w:color w:val="1F2937"/>
          <w:sz w:val="22"/>
          <w:szCs w:val="22"/>
        </w:rPr>
        <w:t xml:space="preserve">Welke aannames zitten erin, en zijn zij getoetst?</w:t>
      </w:r>
      <w:r>
        <w:rPr>
          <w:color w:val="1F2937"/>
          <w:sz w:val="22"/>
          <w:szCs w:val="22"/>
        </w:rPr>
        <w:t xml:space="preserve"> Vraag specifiek naar volumes, externe capaciteit en teamgrootte.</w:t>
      </w:r>
    </w:p>
    <w:p>
      <w:pPr>
        <w:pStyle w:val="ListParagraph"/>
        <w:numPr>
          <w:ilvl w:val="0"/>
          <w:numId w:val="4"/>
        </w:numPr>
        <w:spacing w:after="120"/>
      </w:pPr>
      <w:r>
        <w:rPr>
          <w:b/>
          <w:bCs/>
          <w:color w:val="1F2937"/>
          <w:sz w:val="22"/>
          <w:szCs w:val="22"/>
        </w:rPr>
        <w:t xml:space="preserve">Wat wordt hierdoor duur?</w:t>
      </w:r>
      <w:r>
        <w:rPr>
          <w:color w:val="1F2937"/>
          <w:sz w:val="22"/>
          <w:szCs w:val="22"/>
        </w:rPr>
        <w:t xml:space="preserve"> Elk ontwerp maakt iets duur. Een aanbieder die dat niet kan benoemen, heeft het niet doordacht — of hij verzwijgt het.</w:t>
      </w:r>
    </w:p>
    <w:p>
      <w:pPr>
        <w:pStyle w:val="ListParagraph"/>
        <w:numPr>
          <w:ilvl w:val="0"/>
          <w:numId w:val="4"/>
        </w:numPr>
        <w:spacing w:after="120"/>
      </w:pPr>
      <w:r>
        <w:rPr>
          <w:b/>
          <w:bCs/>
          <w:color w:val="1F2937"/>
          <w:sz w:val="22"/>
          <w:szCs w:val="22"/>
        </w:rPr>
        <w:t xml:space="preserve">Wat gebeurt er als het half wordt gedaan?</w:t>
      </w:r>
      <w:r>
        <w:rPr>
          <w:color w:val="1F2937"/>
          <w:sz w:val="22"/>
          <w:szCs w:val="22"/>
        </w:rPr>
        <w:t xml:space="preserve"> De halfheidsvraag uit deel 4, hier toegepast op iemand anders' werk.</w:t>
      </w:r>
    </w:p>
    <w:p>
      <w:pPr>
        <w:pStyle w:val="ListParagraph"/>
        <w:numPr>
          <w:ilvl w:val="0"/>
          <w:numId w:val="4"/>
        </w:numPr>
        <w:spacing w:after="120"/>
      </w:pPr>
      <w:r>
        <w:rPr>
          <w:b/>
          <w:bCs/>
          <w:color w:val="1F2937"/>
          <w:sz w:val="22"/>
          <w:szCs w:val="22"/>
        </w:rPr>
        <w:t xml:space="preserve">Hoe komen wij eruit?</w:t>
      </w:r>
      <w:r>
        <w:rPr>
          <w:color w:val="1F2937"/>
          <w:sz w:val="22"/>
          <w:szCs w:val="22"/>
        </w:rPr>
        <w:t xml:space="preserve"> Bij uitbesteding: wat is de exitpositie, wie bezit de gegevens, en welke kennis blijft bij ons?</w:t>
      </w:r>
    </w:p>
    <w:p>
      <w:pPr>
        <w:spacing w:after="160" w:line="276"/>
      </w:pPr>
      <w:r>
        <w:rPr>
          <w:b/>
          <w:bCs/>
          <w:color w:val="1F2937"/>
          <w:sz w:val="22"/>
          <w:szCs w:val="22"/>
        </w:rPr>
        <w:t xml:space="preserve">Vraag 4 is de scherpste</w:t>
      </w:r>
      <w:r>
        <w:rPr>
          <w:color w:val="1F2937"/>
          <w:sz w:val="22"/>
          <w:szCs w:val="22"/>
        </w:rPr>
        <w:t xml:space="preserve"> en zij is beleefd te stellen. Een goede aanbieder heeft er een antwoord op en waardeert de vraag; een zwakke aanbieder ontwijkt hem, en dat is zelf informatie.</w:t>
      </w:r>
    </w:p>
    <w:p>
      <w:pPr>
        <w:spacing w:after="160" w:line="276"/>
      </w:pPr>
      <w:r>
        <w:rPr>
          <w:b/>
          <w:bCs/>
          <w:color w:val="1F2937"/>
          <w:sz w:val="22"/>
          <w:szCs w:val="22"/>
        </w:rPr>
        <w:t xml:space="preserve">Wat u niet beoordeelt:</w:t>
      </w:r>
      <w:r>
        <w:rPr>
          <w:color w:val="1F2937"/>
          <w:sz w:val="22"/>
          <w:szCs w:val="22"/>
        </w:rPr>
        <w:t xml:space="preserve"> of het ontwerp is zoals u het gemaakt zou hebben. Dat is de meest voorkomende fout bij het beoordelen van andermans werk, en zij levert een oordeel op dat over u gaat in plaats van over het ontwerp. De toets is of het ontwerp de eisen haalt, niet of het uw ontwerp is.</w:t>
      </w:r>
    </w:p>
    <w:p>
      <w:pPr>
        <w:pStyle w:val="Heading1"/>
        <w:pBdr>
          <w:bottom w:val="single" w:color="E5E7EB" w:sz="6" w:space="6"/>
        </w:pBdr>
        <w:spacing w:after="180" w:before="380"/>
      </w:pPr>
      <w:r>
        <w:rPr>
          <w:b/>
          <w:bCs/>
          <w:color w:val="1F3A5F"/>
          <w:sz w:val="30"/>
          <w:szCs w:val="30"/>
        </w:rPr>
        <w:t xml:space="preserve">18.7 De grenzen en de politiek</w:t>
      </w:r>
    </w:p>
    <w:p>
      <w:pPr>
        <w:spacing w:after="160" w:line="276"/>
      </w:pPr>
      <w:r>
        <w:rPr>
          <w:b/>
          <w:bCs/>
          <w:color w:val="1F2937"/>
          <w:sz w:val="22"/>
          <w:szCs w:val="22"/>
        </w:rPr>
        <w:t xml:space="preserve">Wat een evaluatie niet kan.</w:t>
      </w:r>
      <w:r>
        <w:rPr>
          <w:color w:val="1F2937"/>
          <w:sz w:val="22"/>
          <w:szCs w:val="22"/>
        </w:rPr>
        <w:t xml:space="preserve"> Uit deel 9: geen zekerheid, geen garantie. Daar komt op dit niveau bij: een evaluatie vindt geen uitvoeringsfouten. Zij beoordeelt het ontwerp, niet de bouw — de configuratiefout waardoor een opslag publiek benaderbaar wordt, komt er niet uit.</w:t>
      </w:r>
    </w:p>
    <w:p>
      <w:pPr>
        <w:spacing w:after="160" w:line="276"/>
      </w:pPr>
      <w:r>
        <w:rPr>
          <w:b/>
          <w:bCs/>
          <w:color w:val="1F2937"/>
          <w:sz w:val="22"/>
          <w:szCs w:val="22"/>
        </w:rPr>
        <w:t xml:space="preserve">Wat een evaluatie ook niet kan:</w:t>
      </w:r>
      <w:r>
        <w:rPr>
          <w:color w:val="1F2937"/>
          <w:sz w:val="22"/>
          <w:szCs w:val="22"/>
        </w:rPr>
        <w:t xml:space="preserve"> de organisatie repareren. Als de bevinding is dat er geen eigenaar is voor cross-cutting concepten, dan is dat een organisatievraag, en het rapport lost hem niet op.</w:t>
      </w:r>
    </w:p>
    <w:p>
      <w:pPr>
        <w:spacing w:after="160" w:line="276"/>
      </w:pPr>
      <w:r>
        <w:rPr>
          <w:b/>
          <w:bCs/>
          <w:color w:val="1F2937"/>
          <w:sz w:val="22"/>
          <w:szCs w:val="22"/>
        </w:rPr>
        <w:t xml:space="preserve">De politieke lading.</w:t>
      </w:r>
      <w:r>
        <w:rPr>
          <w:color w:val="1F2937"/>
          <w:sz w:val="22"/>
          <w:szCs w:val="22"/>
        </w:rPr>
        <w:t xml:space="preserve"> Een architectuurevaluatie raakt het werk van aanwezige mensen. Vier dingen die het gesprek open houden:</w:t>
      </w:r>
    </w:p>
    <w:p>
      <w:pPr>
        <w:pStyle w:val="ListParagraph"/>
        <w:numPr>
          <w:ilvl w:val="0"/>
          <w:numId w:val="3"/>
        </w:numPr>
        <w:spacing w:after="100"/>
      </w:pPr>
      <w:r>
        <w:rPr>
          <w:b/>
          <w:bCs/>
          <w:color w:val="1F2937"/>
          <w:sz w:val="22"/>
          <w:szCs w:val="22"/>
        </w:rPr>
        <w:t xml:space="preserve">Onderscheid ontwerpfout van gerealiseerd risico</w:t>
      </w:r>
      <w:r>
        <w:rPr>
          <w:color w:val="1F2937"/>
          <w:sz w:val="22"/>
          <w:szCs w:val="22"/>
        </w:rPr>
        <w:t xml:space="preserve"> (deel 9). Wie elk risico als fout behandelt, krijgt architecten die geen risico's meer benoemen.</w:t>
      </w:r>
    </w:p>
    <w:p>
      <w:pPr>
        <w:pStyle w:val="ListParagraph"/>
        <w:numPr>
          <w:ilvl w:val="0"/>
          <w:numId w:val="3"/>
        </w:numPr>
        <w:spacing w:after="100"/>
      </w:pPr>
      <w:r>
        <w:rPr>
          <w:b/>
          <w:bCs/>
          <w:color w:val="1F2937"/>
          <w:sz w:val="22"/>
          <w:szCs w:val="22"/>
        </w:rPr>
        <w:t xml:space="preserve">Benoem wat goed is.</w:t>
      </w:r>
      <w:r>
        <w:rPr>
          <w:color w:val="1F2937"/>
          <w:sz w:val="22"/>
          <w:szCs w:val="22"/>
        </w:rPr>
        <w:t xml:space="preserve"> Een rapport met alleen risico's is niet geloofwaardig en wordt gelezen als aanval.</w:t>
      </w:r>
    </w:p>
    <w:p>
      <w:pPr>
        <w:pStyle w:val="ListParagraph"/>
        <w:numPr>
          <w:ilvl w:val="0"/>
          <w:numId w:val="3"/>
        </w:numPr>
        <w:spacing w:after="100"/>
      </w:pPr>
      <w:r>
        <w:rPr>
          <w:b/>
          <w:bCs/>
          <w:color w:val="1F2937"/>
          <w:sz w:val="22"/>
          <w:szCs w:val="22"/>
        </w:rPr>
        <w:t xml:space="preserve">Laat de architect de bevindingen bevestigen</w:t>
      </w:r>
      <w:r>
        <w:rPr>
          <w:color w:val="1F2937"/>
          <w:sz w:val="22"/>
          <w:szCs w:val="22"/>
        </w:rPr>
        <w:t xml:space="preserve"> vóór publicatie — niet om ze af te zwakken, maar om feitelijke fouten eruit te halen. Een rapport met één feitelijke fout wordt op dat punt aangevallen en de rest verdwijnt.</w:t>
      </w:r>
    </w:p>
    <w:p>
      <w:pPr>
        <w:pStyle w:val="ListParagraph"/>
        <w:numPr>
          <w:ilvl w:val="0"/>
          <w:numId w:val="3"/>
        </w:numPr>
        <w:spacing w:after="100"/>
      </w:pPr>
      <w:r>
        <w:rPr>
          <w:b/>
          <w:bCs/>
          <w:color w:val="1F2937"/>
          <w:sz w:val="22"/>
          <w:szCs w:val="22"/>
        </w:rPr>
        <w:t xml:space="preserve">Wees expliciet over wat u niet hebt gekeken.</w:t>
      </w:r>
      <w:r>
        <w:rPr>
          <w:color w:val="1F2937"/>
          <w:sz w:val="22"/>
          <w:szCs w:val="22"/>
        </w:rPr>
        <w:t xml:space="preserve"> Dat voorkomt dat het rapport later als volledige toets wordt gebruikt.</w:t>
      </w:r>
    </w:p>
    <w:p>
      <w:pPr>
        <w:spacing w:after="160" w:line="276"/>
      </w:pPr>
      <w:r>
        <w:rPr>
          <w:b/>
          <w:bCs/>
          <w:color w:val="1F2937"/>
          <w:sz w:val="22"/>
          <w:szCs w:val="22"/>
        </w:rPr>
        <w:t xml:space="preserve">Als u zelf de architect bent</w:t>
      </w:r>
      <w:r>
        <w:rPr>
          <w:color w:val="1F2937"/>
          <w:sz w:val="22"/>
          <w:szCs w:val="22"/>
        </w:rPr>
        <w:t xml:space="preserve"> die geëvalueerd wordt, geldt de houding uit deel 10 van niveau 1: erkennen, verhelderen, weerleggen. Een erkend zwak punt met benoemde maatregel is sterker dan een ontkend zwak punt — en de evaluatoren merken het verschil onmiddellijk.</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De volledige ATAM is tweefasig: eerst de kerngroep, dan de bredere groep. De kerngroep kent het systeem en niet zijn eigen aannames; de bredere groep ziet wat vanzelfsprekend werd gevonden.</w:t>
      </w:r>
    </w:p>
    <w:p>
      <w:pPr>
        <w:pStyle w:val="ListParagraph"/>
        <w:numPr>
          <w:ilvl w:val="0"/>
          <w:numId w:val="3"/>
        </w:numPr>
        <w:spacing w:after="100"/>
      </w:pPr>
      <w:r>
        <w:rPr>
          <w:color w:val="1F2937"/>
          <w:sz w:val="22"/>
          <w:szCs w:val="22"/>
        </w:rPr>
        <w:t xml:space="preserve">De procesbewaker is de meest onderschatte rol: de zwaarste bevindingen komen doorgaans van mensen die iets wisten en het niet zeiden.</w:t>
      </w:r>
    </w:p>
    <w:p>
      <w:pPr>
        <w:pStyle w:val="ListParagraph"/>
        <w:numPr>
          <w:ilvl w:val="0"/>
          <w:numId w:val="3"/>
        </w:numPr>
        <w:spacing w:after="100"/>
      </w:pPr>
      <w:r>
        <w:rPr>
          <w:color w:val="1F2937"/>
          <w:sz w:val="22"/>
          <w:szCs w:val="22"/>
        </w:rPr>
        <w:t xml:space="preserve">Evaluatoren stellen vast; zij verbeteren niet. Zodra zij ontwerpvoorstellen doen, verliezen zij hun positie.</w:t>
      </w:r>
    </w:p>
    <w:p>
      <w:pPr>
        <w:pStyle w:val="ListParagraph"/>
        <w:numPr>
          <w:ilvl w:val="0"/>
          <w:numId w:val="3"/>
        </w:numPr>
        <w:spacing w:after="100"/>
      </w:pPr>
      <w:r>
        <w:rPr>
          <w:color w:val="1F2937"/>
          <w:sz w:val="22"/>
          <w:szCs w:val="22"/>
        </w:rPr>
        <w:t xml:space="preserve">Schaal de vorm naar de vraag. De zwaarste vorm kiezen om gewicht te geven, ondermijnt het instrument.</w:t>
      </w:r>
    </w:p>
    <w:p>
      <w:pPr>
        <w:pStyle w:val="ListParagraph"/>
        <w:numPr>
          <w:ilvl w:val="0"/>
          <w:numId w:val="3"/>
        </w:numPr>
        <w:spacing w:after="100"/>
      </w:pPr>
      <w:r>
        <w:rPr>
          <w:color w:val="1F2937"/>
          <w:sz w:val="22"/>
          <w:szCs w:val="22"/>
        </w:rPr>
        <w:t xml:space="preserve">Wachtrijredenering: bij 90% benutting is een systeem niet voor 90% belast maar praktisch vol. Dat verklaart de sprong van 6 naar 90 seconden uit niveau 1, en zij was te voorzien.</w:t>
      </w:r>
    </w:p>
    <w:p>
      <w:pPr>
        <w:pStyle w:val="ListParagraph"/>
        <w:numPr>
          <w:ilvl w:val="0"/>
          <w:numId w:val="3"/>
        </w:numPr>
        <w:spacing w:after="100"/>
      </w:pPr>
      <w:r>
        <w:rPr>
          <w:color w:val="1F2937"/>
          <w:sz w:val="22"/>
          <w:szCs w:val="22"/>
        </w:rPr>
        <w:t xml:space="preserve">Beschikbaarheid in serie vermenigvuldigt; elke afhankelijkheid in het kritieke pad verlaagt haar. Parallel vermenigvuldigen de onbeschikbaarheden — mits het falen werkelijk onafhankelijk is, en dat is de aanname die het vaakst niet klopt.</w:t>
      </w:r>
    </w:p>
    <w:p>
      <w:pPr>
        <w:pStyle w:val="ListParagraph"/>
        <w:numPr>
          <w:ilvl w:val="0"/>
          <w:numId w:val="3"/>
        </w:numPr>
        <w:spacing w:after="100"/>
      </w:pPr>
      <w:r>
        <w:rPr>
          <w:color w:val="1F2937"/>
          <w:sz w:val="22"/>
          <w:szCs w:val="22"/>
        </w:rPr>
        <w:t xml:space="preserve">Een herzieningsgrens uit een gevoeligheidsanalyse is verdedigbaar; een grens op gevoel wordt weggeredeneerd.</w:t>
      </w:r>
    </w:p>
    <w:p>
      <w:pPr>
        <w:pStyle w:val="ListParagraph"/>
        <w:numPr>
          <w:ilvl w:val="0"/>
          <w:numId w:val="3"/>
        </w:numPr>
        <w:spacing w:after="100"/>
      </w:pPr>
      <w:r>
        <w:rPr>
          <w:color w:val="1F2937"/>
          <w:sz w:val="22"/>
          <w:szCs w:val="22"/>
        </w:rPr>
        <w:t xml:space="preserve">Groepeer bevindingen in risicothema's: een stuurgroep kan drie thema's wegen, twintig losse risico's niet. Geef geen cijfer.</w:t>
      </w:r>
    </w:p>
    <w:p>
      <w:pPr>
        <w:pStyle w:val="ListParagraph"/>
        <w:numPr>
          <w:ilvl w:val="0"/>
          <w:numId w:val="3"/>
        </w:numPr>
        <w:spacing w:after="100"/>
      </w:pPr>
      <w:r>
        <w:rPr>
          <w:color w:val="1F2937"/>
          <w:sz w:val="22"/>
          <w:szCs w:val="22"/>
        </w:rPr>
        <w:t xml:space="preserve">Bij het beoordelen van andermans ontwerp: zes vragen, waarvan “wat wordt hierdoor duur” de scherpste is. De toets is of het de eisen haalt, niet of het uw ontwerp is.</w:t>
      </w:r>
    </w:p>
    <w:p>
      <w:pPr>
        <w:pStyle w:val="ListParagraph"/>
        <w:numPr>
          <w:ilvl w:val="0"/>
          <w:numId w:val="3"/>
        </w:numPr>
        <w:spacing w:after="100"/>
      </w:pPr>
      <w:r>
        <w:rPr>
          <w:color w:val="1F2937"/>
          <w:sz w:val="22"/>
          <w:szCs w:val="22"/>
        </w:rPr>
        <w:t xml:space="preserve">Een evaluatie vindt geen uitvoeringsfouten en repareert de organisatie niet. Benoem wat goed is, laat feiten bevestigen, en wees expliciet over wat u niet hebt bekeken.</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Tweefasige evaluatie — </w:t>
      </w:r>
      <w:r>
        <w:rPr>
          <w:color w:val="1F2937"/>
          <w:sz w:val="22"/>
          <w:szCs w:val="22"/>
        </w:rPr>
        <w:t xml:space="preserve">kerngroep eerst, bredere groep daarna, met een uitwerkperiode ertussen.</w:t>
      </w:r>
    </w:p>
    <w:p>
      <w:pPr>
        <w:spacing w:after="160" w:line="276"/>
      </w:pPr>
      <w:r>
        <w:rPr>
          <w:b/>
          <w:bCs/>
          <w:color w:val="1F2937"/>
          <w:sz w:val="22"/>
          <w:szCs w:val="22"/>
        </w:rPr>
        <w:t xml:space="preserve">Procesbewaker — </w:t>
      </w:r>
      <w:r>
        <w:rPr>
          <w:color w:val="1F2937"/>
          <w:sz w:val="22"/>
          <w:szCs w:val="22"/>
        </w:rPr>
        <w:t xml:space="preserve">rol die let op wie niet aan het woord komt.</w:t>
      </w:r>
    </w:p>
    <w:p>
      <w:pPr>
        <w:spacing w:after="160" w:line="276"/>
      </w:pPr>
      <w:r>
        <w:rPr>
          <w:b/>
          <w:bCs/>
          <w:color w:val="1F2937"/>
          <w:sz w:val="22"/>
          <w:szCs w:val="22"/>
        </w:rPr>
        <w:t xml:space="preserve">Wachtrijredenering — </w:t>
      </w:r>
      <w:r>
        <w:rPr>
          <w:color w:val="1F2937"/>
          <w:sz w:val="22"/>
          <w:szCs w:val="22"/>
        </w:rPr>
        <w:t xml:space="preserve">de niet-lineaire relatie tussen benutting en wachttijd.</w:t>
      </w:r>
    </w:p>
    <w:p>
      <w:pPr>
        <w:spacing w:after="160" w:line="276"/>
      </w:pPr>
      <w:r>
        <w:rPr>
          <w:b/>
          <w:bCs/>
          <w:color w:val="1F2937"/>
          <w:sz w:val="22"/>
          <w:szCs w:val="22"/>
        </w:rPr>
        <w:t xml:space="preserve">Gevoeligheidsanalyse — </w:t>
      </w:r>
      <w:r>
        <w:rPr>
          <w:color w:val="1F2937"/>
          <w:sz w:val="22"/>
          <w:szCs w:val="22"/>
        </w:rPr>
        <w:t xml:space="preserve">vaststellen bij welke waarde een gevoelig punt kantelt; levert de herzieningsgrens.</w:t>
      </w:r>
    </w:p>
    <w:p>
      <w:pPr>
        <w:spacing w:after="160" w:line="276"/>
      </w:pPr>
      <w:r>
        <w:rPr>
          <w:b/>
          <w:bCs/>
          <w:color w:val="1F2937"/>
          <w:sz w:val="22"/>
          <w:szCs w:val="22"/>
        </w:rPr>
        <w:t xml:space="preserve">Risicothema — </w:t>
      </w:r>
      <w:r>
        <w:rPr>
          <w:color w:val="1F2937"/>
          <w:sz w:val="22"/>
          <w:szCs w:val="22"/>
        </w:rPr>
        <w:t xml:space="preserve">cluster van samenhangende bevindingen, geschikt voor bestuurlijke weging.</w:t>
      </w:r>
    </w:p>
    <w:p>
      <w:pPr>
        <w:spacing w:after="160" w:line="276"/>
      </w:pPr>
      <w:r>
        <w:rPr>
          <w:b/>
          <w:bCs/>
          <w:color w:val="1F2937"/>
          <w:sz w:val="22"/>
          <w:szCs w:val="22"/>
        </w:rPr>
        <w:t xml:space="preserve">Documentgebaseerde beoordeling — </w:t>
      </w:r>
      <w:r>
        <w:rPr>
          <w:color w:val="1F2937"/>
          <w:sz w:val="22"/>
          <w:szCs w:val="22"/>
        </w:rPr>
        <w:t xml:space="preserve">evaluatie van een ontwerp zonder toegang tot de makers.</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Clements, Kazman &amp; Klein, Evaluating Software Architectures — de volledige ATAM, inclusief draaiboeken.</w:t>
      </w:r>
    </w:p>
    <w:p>
      <w:pPr>
        <w:pStyle w:val="ListParagraph"/>
        <w:numPr>
          <w:ilvl w:val="0"/>
          <w:numId w:val="3"/>
        </w:numPr>
        <w:spacing w:after="100"/>
      </w:pPr>
      <w:r>
        <w:rPr>
          <w:color w:val="1F2937"/>
          <w:sz w:val="22"/>
          <w:szCs w:val="22"/>
        </w:rPr>
        <w:t xml:space="preserve">Bass, Clements &amp; Kazman, Software Architecture in Practice — het evaluatiehoofdstuk en de lichtere varianten.</w:t>
      </w:r>
    </w:p>
    <w:p>
      <w:pPr>
        <w:pStyle w:val="ListParagraph"/>
        <w:numPr>
          <w:ilvl w:val="0"/>
          <w:numId w:val="3"/>
        </w:numPr>
        <w:spacing w:after="100"/>
      </w:pPr>
      <w:r>
        <w:rPr>
          <w:color w:val="1F2937"/>
          <w:sz w:val="22"/>
          <w:szCs w:val="22"/>
        </w:rPr>
        <w:t xml:space="preserve">Gunther, Guerrilla Capacity Planning — toegankelijk over wachtrijredenering zonder zware wiskunde.</w:t>
      </w:r>
    </w:p>
    <w:p>
      <w:pPr>
        <w:pStyle w:val="ListParagraph"/>
        <w:numPr>
          <w:ilvl w:val="0"/>
          <w:numId w:val="3"/>
        </w:numPr>
        <w:spacing w:after="100"/>
      </w:pPr>
      <w:r>
        <w:rPr>
          <w:color w:val="1F2937"/>
          <w:sz w:val="22"/>
          <w:szCs w:val="22"/>
        </w:rPr>
        <w:t xml:space="preserve">Nygard, Release It! — over waarom beschikbaarheidsberekeningen in de praktijk tegenvallen.</w:t>
      </w:r>
    </w:p>
    <w:p>
      <w:pPr>
        <w:pBdr>
          <w:top w:val="single" w:color="E5E7EB" w:sz="4" w:space="8"/>
        </w:pBdr>
        <w:spacing w:before="400"/>
        <w:jc w:val="center"/>
      </w:pPr>
      <w:r>
        <w:rPr>
          <w:i/>
          <w:iCs/>
          <w:color w:val="6B7280"/>
          <w:sz w:val="17"/>
          <w:szCs w:val="17"/>
        </w:rPr>
        <w:t xml:space="preserve">Ductus B.V. · Cursus Softwarearchitectuur · Niveau 2, deel 18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2026-08-17T19:36:21.589Z</dcterms:created>
  <dcterms:modified xsi:type="dcterms:W3CDTF">2026-08-17T19:36:21.590Z</dcterms:modified>
</cp:coreProperties>
</file>

<file path=docProps/custom.xml><?xml version="1.0" encoding="utf-8"?>
<Properties xmlns="http://schemas.openxmlformats.org/officeDocument/2006/custom-properties" xmlns:vt="http://schemas.openxmlformats.org/officeDocument/2006/docPropsVTypes"/>
</file>