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19 — Documentatie en stakeholdercommunicatie</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19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eerste deel in het communicatieve competentiegebied en het heeft een positioneringsprobleem dat u actief moet aanpakken: technische deelnemers verwachten dat dit het zachte deel is en haken mentaal af.</w:t>
      </w:r>
    </w:p>
    <w:p>
      <w:pPr>
        <w:spacing w:after="160" w:line="276"/>
      </w:pPr>
      <w:r>
        <w:rPr>
          <w:b/>
          <w:bCs/>
          <w:color w:val="1F2937"/>
          <w:sz w:val="22"/>
          <w:szCs w:val="22"/>
        </w:rPr>
        <w:t xml:space="preserve">Twee dingen keren dat, </w:t>
      </w:r>
      <w:r>
        <w:rPr>
          <w:color w:val="1F2937"/>
          <w:sz w:val="22"/>
          <w:szCs w:val="22"/>
        </w:rPr>
        <w:t xml:space="preserve">en u hebt ze allebei in het eerste kwartier nodig:</w:t>
      </w:r>
    </w:p>
    <w:p>
      <w:pPr>
        <w:pStyle w:val="ListParagraph"/>
        <w:numPr>
          <w:ilvl w:val="0"/>
          <w:numId w:val="2"/>
        </w:numPr>
        <w:spacing w:after="120"/>
      </w:pPr>
      <w:r>
        <w:rPr>
          <w:b/>
          <w:bCs/>
          <w:color w:val="1F2937"/>
          <w:sz w:val="22"/>
          <w:szCs w:val="22"/>
        </w:rPr>
        <w:t xml:space="preserve">Het argument dat het meetelt is empirisch.</w:t>
      </w:r>
      <w:r>
        <w:rPr>
          <w:color w:val="1F2937"/>
          <w:sz w:val="22"/>
          <w:szCs w:val="22"/>
        </w:rPr>
        <w:t xml:space="preserve"> Architectuurbeslissingen sneuvelen vaker op communicatie dan op inhoud. Dat is geen wenselijkheid maar een waarneming, en het is de reden dat iSAQB dit gebied even zwaar weegt.</w:t>
      </w:r>
    </w:p>
    <w:p>
      <w:pPr>
        <w:pStyle w:val="ListParagraph"/>
        <w:numPr>
          <w:ilvl w:val="0"/>
          <w:numId w:val="2"/>
        </w:numPr>
        <w:spacing w:after="120"/>
      </w:pPr>
      <w:r>
        <w:rPr>
          <w:b/>
          <w:bCs/>
          <w:color w:val="1F2937"/>
          <w:sz w:val="22"/>
          <w:szCs w:val="22"/>
        </w:rPr>
        <w:t xml:space="preserve">De casus van de drie mislukte overdrachten.</w:t>
      </w:r>
      <w:r>
        <w:rPr>
          <w:color w:val="1F2937"/>
          <w:sz w:val="22"/>
          <w:szCs w:val="22"/>
        </w:rPr>
        <w:t xml:space="preserve"> In alle drie de gevallen was de inhoud correct. Dat is het punt waarop technische deelnemers gaan luisteren: hun eigen kwaliteitscriterium — inhoudelijke juistheid — blijkt niet voldoende.</w:t>
      </w:r>
    </w:p>
    <w:p>
      <w:pPr>
        <w:spacing w:after="160" w:line="276"/>
      </w:pPr>
      <w:r>
        <w:rPr>
          <w:b/>
          <w:bCs/>
          <w:color w:val="1F2937"/>
          <w:sz w:val="22"/>
          <w:szCs w:val="22"/>
        </w:rPr>
        <w:t xml:space="preserve">Wat dit deel onderscheidt van een algemene communicatietraining </w:t>
      </w:r>
      <w:r>
        <w:rPr>
          <w:color w:val="1F2937"/>
          <w:sz w:val="22"/>
          <w:szCs w:val="22"/>
        </w:rPr>
        <w:t xml:space="preserve">is dat het architectuurspecifiek is: vier concrete publieken uit deze casus, met vragen die echt zijn gesteld. Houd het daarbij. Zodra u afdrijft naar algemene presentatietechniek, verliest u de zaal en terecht.</w:t>
      </w:r>
    </w:p>
    <w:p>
      <w:pPr>
        <w:spacing w:after="160" w:line="276"/>
      </w:pPr>
      <w:r>
        <w:rPr>
          <w:b/>
          <w:bCs/>
          <w:color w:val="1F2937"/>
          <w:sz w:val="22"/>
          <w:szCs w:val="22"/>
        </w:rPr>
        <w:t xml:space="preserve">Waarschuwing over deel 20.</w:t>
      </w:r>
      <w:r>
        <w:rPr>
          <w:color w:val="1F2937"/>
          <w:sz w:val="22"/>
          <w:szCs w:val="22"/>
        </w:rPr>
        <w:t xml:space="preserve"> Dat deel is los aanbiedbaar en gaat over modereren, argumenteren en omgaan met weerstand. Er is overlap; parkeer de gespreksvaardigheden consequent naar deel 20 en houd vandaag bij de vorm van de boodschap.</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Positionering communicatief gebied; de drie mislukkingen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0:10–0:25</w:t>
            </w:r>
          </w:p>
        </w:tc>
        <w:tc>
          <w:tcPr>
            <w:tcW w:type="dxa" w:w="4300"/>
            <w:tcMar>
              <w:top w:type="dxa" w:w="100"/>
              <w:left w:type="dxa" w:w="120"/>
              <w:bottom w:type="dxa" w:w="100"/>
              <w:right w:type="dxa" w:w="120"/>
            </w:tcMar>
            <w:vAlign w:val="center"/>
          </w:tcPr>
          <w:p>
            <w:r>
              <w:rPr>
                <w:b w:val="false"/>
                <w:bCs w:val="false"/>
                <w:color w:val="1F2937"/>
                <w:sz w:val="19"/>
                <w:szCs w:val="19"/>
              </w:rPr>
              <w:t xml:space="preserve">Documentatie tegenover communicatie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7–8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0:25–0:45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19.1 — waarom de stuurgroep niets besloot</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0:45–1:10</w:t>
            </w:r>
          </w:p>
        </w:tc>
        <w:tc>
          <w:tcPr>
            <w:tcW w:type="dxa" w:w="4300"/>
            <w:tcMar>
              <w:top w:type="dxa" w:w="100"/>
              <w:left w:type="dxa" w:w="120"/>
              <w:bottom w:type="dxa" w:w="100"/>
              <w:right w:type="dxa" w:w="120"/>
            </w:tcMar>
            <w:vAlign w:val="center"/>
          </w:tcPr>
          <w:p>
            <w:r>
              <w:rPr>
                <w:b w:val="false"/>
                <w:bCs w:val="false"/>
                <w:color w:val="1F2937"/>
                <w:sz w:val="19"/>
                <w:szCs w:val="19"/>
              </w:rPr>
              <w:t xml:space="preserve">Vier publieken, vier verhalen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10–16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1:10–1:20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1:20–2:00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19.2 — vier keer hetzelfde risico</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2:00–2:20</w:t>
            </w:r>
          </w:p>
        </w:tc>
        <w:tc>
          <w:tcPr>
            <w:tcW w:type="dxa" w:w="4300"/>
            <w:tcMar>
              <w:top w:type="dxa" w:w="100"/>
              <w:left w:type="dxa" w:w="120"/>
              <w:bottom w:type="dxa" w:w="100"/>
              <w:right w:type="dxa" w:w="120"/>
            </w:tcMar>
            <w:vAlign w:val="center"/>
          </w:tcPr>
          <w:p>
            <w:r>
              <w:rPr>
                <w:b w:val="false"/>
                <w:bCs w:val="false"/>
                <w:color w:val="1F2937"/>
                <w:sz w:val="19"/>
                <w:szCs w:val="19"/>
              </w:rPr>
              <w:t xml:space="preserve">Een besluit voorleggen: de vier blokken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18–22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2:20–2:30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2:30–3:00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19.3 — de besluitnota</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3:00–3:20</w:t>
            </w:r>
          </w:p>
        </w:tc>
        <w:tc>
          <w:tcPr>
            <w:tcW w:type="dxa" w:w="4300"/>
            <w:tcMar>
              <w:top w:type="dxa" w:w="100"/>
              <w:left w:type="dxa" w:w="120"/>
              <w:bottom w:type="dxa" w:w="100"/>
              <w:right w:type="dxa" w:w="120"/>
            </w:tcMar>
            <w:vAlign w:val="center"/>
          </w:tcPr>
          <w:p>
            <w:r>
              <w:rPr>
                <w:b w:val="false"/>
                <w:bCs w:val="false"/>
                <w:color w:val="1F2937"/>
                <w:sz w:val="19"/>
                <w:szCs w:val="19"/>
              </w:rPr>
              <w:t xml:space="preserve">Slecht nieuws brengen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3:20–3:50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19.4 — het gesprek met de toezichthouder</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Drie valkuilen;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28</w:t>
            </w:r>
          </w:p>
        </w:tc>
      </w:tr>
    </w:tbl>
    <w:p>
      <w:pPr>
        <w:spacing w:after="300"/>
      </w:pPr>
    </w:p>
    <w:p>
      <w:pPr>
        <w:spacing w:after="160" w:line="276"/>
      </w:pPr>
      <w:r>
        <w:rPr>
          <w:b/>
          <w:bCs/>
          <w:color w:val="1F2937"/>
          <w:sz w:val="22"/>
          <w:szCs w:val="22"/>
        </w:rPr>
        <w:t xml:space="preserve">Opdracht 19.5 (slecht nieuws schrijven) en 19.6 (documentatieafspraken)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19.5 in plaats van 19.4</w:t>
      </w:r>
      <w:r>
        <w:rPr>
          <w:color w:val="1F2937"/>
          <w:sz w:val="22"/>
          <w:szCs w:val="22"/>
        </w:rPr>
        <w:t xml:space="preserve"> bij groepen zonder toezichtcontext; de schrijfopdracht werkt overal en het rollenspel niet.</w:t>
      </w:r>
    </w:p>
    <w:p>
      <w:pPr>
        <w:pStyle w:val="ListParagraph"/>
        <w:numPr>
          <w:ilvl w:val="0"/>
          <w:numId w:val="3"/>
        </w:numPr>
        <w:spacing w:after="100"/>
      </w:pPr>
      <w:r>
        <w:rPr>
          <w:b/>
          <w:bCs/>
          <w:color w:val="1F2937"/>
          <w:sz w:val="22"/>
          <w:szCs w:val="22"/>
        </w:rPr>
        <w:t xml:space="preserve">Doe 19.6</w:t>
      </w:r>
      <w:r>
        <w:rPr>
          <w:color w:val="1F2937"/>
          <w:sz w:val="22"/>
          <w:szCs w:val="22"/>
        </w:rPr>
        <w:t xml:space="preserve"> bij groepen die verantwoordelijk zijn voor het documentatiestelsel van hun organisatie; onderdeel d) (“welk document maakt u voor uzelf?”) levert een eerlijk gesprek op.</w:t>
      </w:r>
    </w:p>
    <w:p>
      <w:pPr>
        <w:pStyle w:val="ListParagraph"/>
        <w:numPr>
          <w:ilvl w:val="0"/>
          <w:numId w:val="3"/>
        </w:numPr>
        <w:spacing w:after="100"/>
      </w:pPr>
      <w:r>
        <w:rPr>
          <w:b/>
          <w:bCs/>
          <w:color w:val="1F2937"/>
          <w:sz w:val="22"/>
          <w:szCs w:val="22"/>
        </w:rPr>
        <w:t xml:space="preserve">Bij 4,5 uur:</w:t>
      </w:r>
      <w:r>
        <w:rPr>
          <w:color w:val="1F2937"/>
          <w:sz w:val="22"/>
          <w:szCs w:val="22"/>
        </w:rPr>
        <w:t xml:space="preserve"> voeg 19.5 toe na het blok over slecht nieuws.</w:t>
      </w:r>
    </w:p>
    <w:p>
      <w:pPr>
        <w:spacing w:after="160" w:line="276"/>
      </w:pPr>
      <w:r>
        <w:rPr>
          <w:b/>
          <w:bCs/>
          <w:color w:val="1F2937"/>
          <w:sz w:val="22"/>
          <w:szCs w:val="22"/>
        </w:rPr>
        <w:t xml:space="preserve">Wat u nooit inkort: </w:t>
      </w:r>
      <w:r>
        <w:rPr>
          <w:color w:val="1F2937"/>
          <w:sz w:val="22"/>
          <w:szCs w:val="22"/>
        </w:rPr>
        <w:t xml:space="preserve">opdracht 19.2, en dan met name de slottoets — leggen de vier versies naast elkaar en spreken zij elkaar tegen?</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Positionering en de drie mislukkingen (slides 2–6)</w:t>
      </w:r>
    </w:p>
    <w:p>
      <w:pPr>
        <w:spacing w:after="160" w:line="276"/>
      </w:pPr>
      <w:r>
        <w:rPr>
          <w:b/>
          <w:bCs/>
          <w:color w:val="1F2937"/>
          <w:sz w:val="22"/>
          <w:szCs w:val="22"/>
        </w:rPr>
        <w:t xml:space="preserve">Slide 2 moet stevig staan.</w:t>
      </w:r>
      <w:r>
        <w:rPr>
          <w:color w:val="1F2937"/>
          <w:sz w:val="22"/>
          <w:szCs w:val="22"/>
        </w:rPr>
        <w:t xml:space="preserve"> Zeg het empirische argument voordat iemand zich afvraagt waarom dit in een architectuurcursus staat.</w:t>
      </w:r>
    </w:p>
    <w:p>
      <w:pPr>
        <w:spacing w:after="160" w:line="276"/>
      </w:pPr>
      <w:r>
        <w:rPr>
          <w:b/>
          <w:bCs/>
          <w:color w:val="1F2937"/>
          <w:sz w:val="22"/>
          <w:szCs w:val="22"/>
        </w:rPr>
        <w:t xml:space="preserve">Bouw de drie mislukkingen op zonder oordeel </w:t>
      </w:r>
      <w:r>
        <w:rPr>
          <w:color w:val="1F2937"/>
          <w:sz w:val="22"/>
          <w:szCs w:val="22"/>
        </w:rPr>
        <w:t xml:space="preserve">en eindig met slide 6: in geen van de drie gevallen was de inhoud fout. Laat dat even hangen.</w:t>
      </w:r>
    </w:p>
    <w:p>
      <w:pPr>
        <w:spacing w:after="160" w:line="276"/>
      </w:pPr>
      <w:r>
        <w:rPr>
          <w:color w:val="1F2937"/>
          <w:sz w:val="22"/>
          <w:szCs w:val="22"/>
        </w:rPr>
        <w:t xml:space="preserve">Vraag daarna wie een presentatie heeft gegeven waarna niets werd besloten. Vrijwel iedereen. Dat is uw ingang.</w:t>
      </w:r>
    </w:p>
    <w:p>
      <w:pPr>
        <w:pStyle w:val="Heading2"/>
        <w:spacing w:after="140" w:before="260"/>
      </w:pPr>
      <w:r>
        <w:rPr>
          <w:b/>
          <w:bCs/>
          <w:color w:val="4A6789"/>
          <w:sz w:val="24"/>
          <w:szCs w:val="24"/>
        </w:rPr>
        <w:t xml:space="preserve">3.2 Documentatie tegenover communicatie (slides 7–9)</w:t>
      </w:r>
    </w:p>
    <w:p>
      <w:pPr>
        <w:spacing w:after="160" w:line="276"/>
      </w:pPr>
      <w:r>
        <w:rPr>
          <w:b/>
          <w:bCs/>
          <w:color w:val="1F2937"/>
          <w:sz w:val="22"/>
          <w:szCs w:val="22"/>
        </w:rPr>
        <w:t xml:space="preserve">Het onderscheid is eenvoudig en de consequentie niet.</w:t>
      </w:r>
      <w:r>
        <w:rPr>
          <w:color w:val="1F2937"/>
          <w:sz w:val="22"/>
          <w:szCs w:val="22"/>
        </w:rPr>
        <w:t xml:space="preserve"> Deelnemers accepteren de tabel meteen en maken vervolgens toch een presentatie die een samenvatting van hun documentatie is.</w:t>
      </w:r>
    </w:p>
    <w:p>
      <w:pPr>
        <w:spacing w:after="160" w:line="276"/>
      </w:pPr>
      <w:r>
        <w:rPr>
          <w:b/>
          <w:bCs/>
          <w:color w:val="1F2937"/>
          <w:sz w:val="22"/>
          <w:szCs w:val="22"/>
        </w:rPr>
        <w:t xml:space="preserve">Opdracht 19.1 is daarom belangrijk en zij moet plenair.</w:t>
      </w:r>
      <w:r>
        <w:rPr>
          <w:color w:val="1F2937"/>
          <w:sz w:val="22"/>
          <w:szCs w:val="22"/>
        </w:rPr>
        <w:t xml:space="preserve"> Bespreek a), b) en e).</w:t>
      </w:r>
    </w:p>
    <w:p>
      <w:pPr>
        <w:spacing w:after="160" w:line="276"/>
      </w:pPr>
      <w:r>
        <w:rPr>
          <w:color w:val="1F2937"/>
          <w:sz w:val="22"/>
          <w:szCs w:val="22"/>
        </w:rPr>
        <w:t xml:space="preserve">Bij b) markeren deelnemers doorgaans drie tot vier van de achttien dia's als besluitondersteunend. Dat cijfer is het argument.</w:t>
      </w:r>
    </w:p>
    <w:p>
      <w:pPr>
        <w:spacing w:after="160" w:line="276"/>
      </w:pPr>
      <w:r>
        <w:rPr>
          <w:b/>
          <w:bCs/>
          <w:color w:val="1F2937"/>
          <w:sz w:val="22"/>
          <w:szCs w:val="22"/>
        </w:rPr>
        <w:t xml:space="preserve">Bij e) is de conclusie ongemakkelijk en u moet hem niet verzachten: </w:t>
      </w:r>
      <w:r>
        <w:rPr>
          <w:color w:val="1F2937"/>
          <w:sz w:val="22"/>
          <w:szCs w:val="22"/>
        </w:rPr>
        <w:t xml:space="preserve">er was niets fout aan de inhoud, en de mislukking kwam door de vorm. Voor architecten is inhoudelijke kwaliteit het kwaliteitscriterium; hier blijkt het niet voldoende. Dat inzicht draagt het hele dagdeel.</w:t>
      </w:r>
    </w:p>
    <w:p>
      <w:pPr>
        <w:pStyle w:val="Heading2"/>
        <w:spacing w:after="140" w:before="260"/>
      </w:pPr>
      <w:r>
        <w:rPr>
          <w:b/>
          <w:bCs/>
          <w:color w:val="4A6789"/>
          <w:sz w:val="24"/>
          <w:szCs w:val="24"/>
        </w:rPr>
        <w:t xml:space="preserve">3.3 Vier publieken (slides 10–17)</w:t>
      </w:r>
    </w:p>
    <w:p>
      <w:pPr>
        <w:spacing w:after="160" w:line="276"/>
      </w:pPr>
      <w:r>
        <w:rPr>
          <w:b/>
          <w:bCs/>
          <w:color w:val="1F2937"/>
          <w:sz w:val="22"/>
          <w:szCs w:val="22"/>
        </w:rPr>
        <w:t xml:space="preserve">Slide 12 is de zin die misverstanden voorkomt: </w:t>
      </w:r>
      <w:r>
        <w:rPr>
          <w:color w:val="1F2937"/>
          <w:sz w:val="22"/>
          <w:szCs w:val="22"/>
        </w:rPr>
        <w:t xml:space="preserve">het verhaal verschilt, de feiten niet. Zonder die zin leest een deel van de zaal dit blok als een instructie om per publiek iets anders te zeggen — en dat is precies wat het niet is.</w:t>
      </w:r>
    </w:p>
    <w:p>
      <w:pPr>
        <w:spacing w:after="160" w:line="276"/>
      </w:pPr>
      <w:r>
        <w:rPr>
          <w:b/>
          <w:bCs/>
          <w:color w:val="1F2937"/>
          <w:sz w:val="22"/>
          <w:szCs w:val="22"/>
        </w:rPr>
        <w:t xml:space="preserve">Behandel de vier publieken kort </w:t>
      </w:r>
      <w:r>
        <w:rPr>
          <w:color w:val="1F2937"/>
          <w:sz w:val="22"/>
          <w:szCs w:val="22"/>
        </w:rPr>
        <w:t xml:space="preserve">(twee minuten elk) en besteed de tijd aan de opdracht. De kernpunten per publiek:</w:t>
      </w:r>
    </w:p>
    <w:p>
      <w:pPr>
        <w:pStyle w:val="ListParagraph"/>
        <w:numPr>
          <w:ilvl w:val="0"/>
          <w:numId w:val="3"/>
        </w:numPr>
        <w:spacing w:after="100"/>
      </w:pPr>
      <w:r>
        <w:rPr>
          <w:b/>
          <w:bCs/>
          <w:color w:val="1F2937"/>
          <w:sz w:val="22"/>
          <w:szCs w:val="22"/>
        </w:rPr>
        <w:t xml:space="preserve">Bestuur:</w:t>
      </w:r>
      <w:r>
        <w:rPr>
          <w:color w:val="1F2937"/>
          <w:sz w:val="22"/>
          <w:szCs w:val="22"/>
        </w:rPr>
        <w:t xml:space="preserve"> begin met de beslissing.</w:t>
      </w:r>
    </w:p>
    <w:p>
      <w:pPr>
        <w:pStyle w:val="ListParagraph"/>
        <w:numPr>
          <w:ilvl w:val="0"/>
          <w:numId w:val="3"/>
        </w:numPr>
        <w:spacing w:after="100"/>
      </w:pPr>
      <w:r>
        <w:rPr>
          <w:b/>
          <w:bCs/>
          <w:color w:val="1F2937"/>
          <w:sz w:val="22"/>
          <w:szCs w:val="22"/>
        </w:rPr>
        <w:t xml:space="preserve">Team:</w:t>
      </w:r>
      <w:r>
        <w:rPr>
          <w:color w:val="1F2937"/>
          <w:sz w:val="22"/>
          <w:szCs w:val="22"/>
        </w:rPr>
        <w:t xml:space="preserve"> wees specifiek; thema's zijn bestuurlijk.</w:t>
      </w:r>
    </w:p>
    <w:p>
      <w:pPr>
        <w:pStyle w:val="ListParagraph"/>
        <w:numPr>
          <w:ilvl w:val="0"/>
          <w:numId w:val="3"/>
        </w:numPr>
        <w:spacing w:after="100"/>
      </w:pPr>
      <w:r>
        <w:rPr>
          <w:b/>
          <w:bCs/>
          <w:color w:val="1F2937"/>
          <w:sz w:val="22"/>
          <w:szCs w:val="22"/>
        </w:rPr>
        <w:t xml:space="preserve">Toezicht:</w:t>
      </w:r>
      <w:r>
        <w:rPr>
          <w:color w:val="1F2937"/>
          <w:sz w:val="22"/>
          <w:szCs w:val="22"/>
        </w:rPr>
        <w:t xml:space="preserve"> de tussentijdmaatregel, en vertaald naar de deelnemer.</w:t>
      </w:r>
    </w:p>
    <w:p>
      <w:pPr>
        <w:pStyle w:val="ListParagraph"/>
        <w:numPr>
          <w:ilvl w:val="0"/>
          <w:numId w:val="3"/>
        </w:numPr>
        <w:spacing w:after="100"/>
      </w:pPr>
      <w:r>
        <w:rPr>
          <w:b/>
          <w:bCs/>
          <w:color w:val="1F2937"/>
          <w:sz w:val="22"/>
          <w:szCs w:val="22"/>
        </w:rPr>
        <w:t xml:space="preserve">Collega-architect:</w:t>
      </w:r>
      <w:r>
        <w:rPr>
          <w:color w:val="1F2937"/>
          <w:sz w:val="22"/>
          <w:szCs w:val="22"/>
        </w:rPr>
        <w:t xml:space="preserve"> de twijfel hoort erbij.</w:t>
      </w:r>
    </w:p>
    <w:p>
      <w:pPr>
        <w:spacing w:after="160" w:line="276"/>
      </w:pPr>
      <w:r>
        <w:rPr>
          <w:b/>
          <w:bCs/>
          <w:color w:val="1F2937"/>
          <w:sz w:val="22"/>
          <w:szCs w:val="22"/>
        </w:rPr>
        <w:t xml:space="preserve">Slide 15 verdient extra aandacht bij deze doelgroep.</w:t>
      </w:r>
      <w:r>
        <w:rPr>
          <w:color w:val="1F2937"/>
          <w:sz w:val="22"/>
          <w:szCs w:val="22"/>
        </w:rPr>
        <w:t xml:space="preserve"> Het onderscheid tussen een zelf gemeld beheerst risico en een door de toezichthouder gevonden bevinding is groter dan de meeste architecten beseffen, en het is het argument tegen de reflex om eerst een oplossing te zoeken.</w:t>
      </w:r>
    </w:p>
    <w:p>
      <w:pPr>
        <w:spacing w:after="160" w:line="276"/>
      </w:pPr>
      <w:r>
        <w:rPr>
          <w:b/>
          <w:bCs/>
          <w:color w:val="1F2937"/>
          <w:sz w:val="22"/>
          <w:szCs w:val="22"/>
        </w:rPr>
        <w:t xml:space="preserve">Opdracht 19.2,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De vier versies worden te veel op elkaar gelijkend.</w:t>
      </w:r>
      <w:r>
        <w:rPr>
          <w:color w:val="1F2937"/>
          <w:sz w:val="22"/>
          <w:szCs w:val="22"/>
        </w:rPr>
        <w:t xml:space="preserve"> Vraag per versie: wat staat hier dat in de andere drie niet staat? Als het antwoord “niets” is, is er niet aangepast.</w:t>
      </w:r>
    </w:p>
    <w:p>
      <w:pPr>
        <w:pStyle w:val="ListParagraph"/>
        <w:numPr>
          <w:ilvl w:val="0"/>
          <w:numId w:val="4"/>
        </w:numPr>
        <w:spacing w:after="120"/>
      </w:pPr>
      <w:r>
        <w:rPr>
          <w:b/>
          <w:bCs/>
          <w:color w:val="1F2937"/>
          <w:sz w:val="22"/>
          <w:szCs w:val="22"/>
        </w:rPr>
        <w:t xml:space="preserve">De slottoets wordt overgeslagen.</w:t>
      </w:r>
      <w:r>
        <w:rPr>
          <w:color w:val="1F2937"/>
          <w:sz w:val="22"/>
          <w:szCs w:val="22"/>
        </w:rPr>
        <w:t xml:space="preserve"> Dit is het waardevolste onderdeel: leggen de vier naast elkaar en spreken zij elkaar tegen? In ongeveer de helft van de groepen doen zij dat — meestal doordat de stuurgroepversie het risico kleiner maakt dan de complianceversie.</w:t>
      </w:r>
    </w:p>
    <w:p>
      <w:pPr>
        <w:spacing w:after="160" w:line="276"/>
      </w:pPr>
      <w:r>
        <w:rPr>
          <w:b/>
          <w:bCs/>
          <w:color w:val="1F2937"/>
          <w:sz w:val="22"/>
          <w:szCs w:val="22"/>
        </w:rPr>
        <w:t xml:space="preserve">Benoem waarom dat gebeurt: </w:t>
      </w:r>
      <w:r>
        <w:rPr>
          <w:color w:val="1F2937"/>
          <w:sz w:val="22"/>
          <w:szCs w:val="22"/>
        </w:rPr>
        <w:t xml:space="preserve">het is bijna nooit opzettelijk. Het ontstaat doordat u bij elk publiek de nadruk legt waar dat publiek gevoelig voor is, en de optelsom niet nagaat. Dat is de fout die vertrouwen kost.</w:t>
      </w:r>
    </w:p>
    <w:p>
      <w:pPr>
        <w:pStyle w:val="Heading2"/>
        <w:spacing w:after="140" w:before="260"/>
      </w:pPr>
      <w:r>
        <w:rPr>
          <w:b/>
          <w:bCs/>
          <w:color w:val="4A6789"/>
          <w:sz w:val="24"/>
          <w:szCs w:val="24"/>
        </w:rPr>
        <w:t xml:space="preserve">3.4 De besluitnota (slides 18–23)</w:t>
      </w:r>
    </w:p>
    <w:p>
      <w:pPr>
        <w:spacing w:after="160" w:line="276"/>
      </w:pPr>
      <w:r>
        <w:rPr>
          <w:b/>
          <w:bCs/>
          <w:color w:val="1F2937"/>
          <w:sz w:val="22"/>
          <w:szCs w:val="22"/>
        </w:rPr>
        <w:t xml:space="preserve">Dit is het praktische zwaartepunt.</w:t>
      </w:r>
      <w:r>
        <w:rPr>
          <w:color w:val="1F2937"/>
          <w:sz w:val="22"/>
          <w:szCs w:val="22"/>
        </w:rPr>
        <w:t xml:space="preserve"/>
      </w:r>
    </w:p>
    <w:p>
      <w:pPr>
        <w:spacing w:after="160" w:line="276"/>
      </w:pPr>
      <w:r>
        <w:rPr>
          <w:b/>
          <w:bCs/>
          <w:color w:val="1F2937"/>
          <w:sz w:val="22"/>
          <w:szCs w:val="22"/>
        </w:rPr>
        <w:t xml:space="preserve">Slide 20–21 zijn de kern.</w:t>
      </w:r>
      <w:r>
        <w:rPr>
          <w:color w:val="1F2937"/>
          <w:sz w:val="22"/>
          <w:szCs w:val="22"/>
        </w:rPr>
        <w:t xml:space="preserve"> De aanbeveling met aanname wordt het vaakst weggelaten en levert het meeste op, en de reden staat op slide 21: het geeft de bestuurder iets te beslissen dat hij kán beslissen.</w:t>
      </w:r>
    </w:p>
    <w:p>
      <w:pPr>
        <w:spacing w:after="160" w:line="276"/>
      </w:pPr>
      <w:r>
        <w:rPr>
          <w:color w:val="1F2937"/>
          <w:sz w:val="22"/>
          <w:szCs w:val="22"/>
        </w:rPr>
        <w:t xml:space="preserve">Werk het voorbeeld uit: de directeur weet niet of een modulith technisch verstandig is; hij weet wel of er teams bijkomen. Door de aanname expliciet te maken, verplaatst u het besluit naar het domein waarin hij deskundig is.</w:t>
      </w:r>
    </w:p>
    <w:p>
      <w:pPr>
        <w:spacing w:after="160" w:line="276"/>
      </w:pPr>
      <w:r>
        <w:rPr>
          <w:b/>
          <w:bCs/>
          <w:color w:val="1F2937"/>
          <w:sz w:val="22"/>
          <w:szCs w:val="22"/>
        </w:rPr>
        <w:t xml:space="preserve">Slide 22 (valse tweedeling) </w:t>
      </w:r>
      <w:r>
        <w:rPr>
          <w:color w:val="1F2937"/>
          <w:sz w:val="22"/>
          <w:szCs w:val="22"/>
        </w:rPr>
        <w:t xml:space="preserve">is de eerlijkheidscorrectie. Architecten gebruiken de schijnkeuze onbewust en regelmatig, en bestuurders prikken erdoorheen — waarna het volgende advies met wantrouwen wordt gelezen.</w:t>
      </w:r>
    </w:p>
    <w:p>
      <w:pPr>
        <w:spacing w:after="160" w:line="276"/>
      </w:pPr>
      <w:r>
        <w:rPr>
          <w:b/>
          <w:bCs/>
          <w:color w:val="1F2937"/>
          <w:sz w:val="22"/>
          <w:szCs w:val="22"/>
        </w:rPr>
        <w:t xml:space="preserve">Opdracht 19.3, plenair bij e) en f).</w:t>
      </w:r>
      <w:r>
        <w:rPr>
          <w:color w:val="1F2937"/>
          <w:sz w:val="22"/>
          <w:szCs w:val="22"/>
        </w:rPr>
        <w:t xml:space="preserve"> Laat twee duo's hun nota voorlezen en laat de groep beoordelen of er besloten kan worden zonder navraag. De ontbrekende elementen zijn doorgaans de kosten per optie en de besluitdatum.</w:t>
      </w:r>
    </w:p>
    <w:p>
      <w:pPr>
        <w:pStyle w:val="Heading2"/>
        <w:spacing w:after="140" w:before="260"/>
      </w:pPr>
      <w:r>
        <w:rPr>
          <w:b/>
          <w:bCs/>
          <w:color w:val="4A6789"/>
          <w:sz w:val="24"/>
          <w:szCs w:val="24"/>
        </w:rPr>
        <w:t xml:space="preserve">3.5 Slecht nieuws (slides 24–27)</w:t>
      </w:r>
    </w:p>
    <w:p>
      <w:pPr>
        <w:spacing w:after="160" w:line="276"/>
      </w:pPr>
      <w:r>
        <w:rPr>
          <w:b/>
          <w:bCs/>
          <w:color w:val="1F2937"/>
          <w:sz w:val="22"/>
          <w:szCs w:val="22"/>
        </w:rPr>
        <w:t xml:space="preserve">Slide 25, regel 3 verbindt met deel 9: </w:t>
      </w:r>
      <w:r>
        <w:rPr>
          <w:color w:val="1F2937"/>
          <w:sz w:val="22"/>
          <w:szCs w:val="22"/>
        </w:rPr>
        <w:t xml:space="preserve">wie zich verontschuldigt voor een gerealiseerd risico dat correct was benoemd, maakt zichzelf aansprakelijk voor iets waarvoor hij dat niet is.</w:t>
      </w:r>
    </w:p>
    <w:p>
      <w:pPr>
        <w:spacing w:after="160" w:line="276"/>
      </w:pPr>
      <w:r>
        <w:rPr>
          <w:color w:val="1F2937"/>
          <w:sz w:val="22"/>
          <w:szCs w:val="22"/>
        </w:rPr>
        <w:t xml:space="preserve">Dat is een nuttige en contra-intuïtieve les: verontschuldigen voelt als integer en het is in dit geval een fout.</w:t>
      </w:r>
    </w:p>
    <w:p>
      <w:pPr>
        <w:spacing w:after="160" w:line="276"/>
      </w:pPr>
      <w:r>
        <w:rPr>
          <w:b/>
          <w:bCs/>
          <w:color w:val="1F2937"/>
          <w:sz w:val="22"/>
          <w:szCs w:val="22"/>
        </w:rPr>
        <w:t xml:space="preserve">Slide 26 is de scherpste zin van het blok.</w:t>
      </w:r>
      <w:r>
        <w:rPr>
          <w:color w:val="1F2937"/>
          <w:sz w:val="22"/>
          <w:szCs w:val="22"/>
        </w:rPr>
        <w:t xml:space="preserve"> Een risico tussen de groene bolletjes is verstopt, en achteraf wordt het altijd zo gelezen — ook als dat niet de bedoeling was. Als u opdracht 19.5 doet, laat bijlage BK dat concreet zien.</w:t>
      </w:r>
    </w:p>
    <w:p>
      <w:pPr>
        <w:spacing w:after="160" w:line="276"/>
      </w:pPr>
      <w:r>
        <w:rPr>
          <w:b/>
          <w:bCs/>
          <w:color w:val="1F2937"/>
          <w:sz w:val="22"/>
          <w:szCs w:val="22"/>
        </w:rPr>
        <w:t xml:space="preserve">Slide 27 </w:t>
      </w:r>
      <w:r>
        <w:rPr>
          <w:color w:val="1F2937"/>
          <w:sz w:val="22"/>
          <w:szCs w:val="22"/>
        </w:rPr>
        <w:t xml:space="preserve">is het argument tegen de meest voorkomende reflex. Vraag of iemand ooit een probleem heeft stilgehouden om het eerst op te lossen; de handen komen aarzelend omhoog, en het gesprek dat volgt is waardevol.</w:t>
      </w:r>
    </w:p>
    <w:p>
      <w:pPr>
        <w:pStyle w:val="Heading2"/>
        <w:spacing w:after="140" w:before="260"/>
      </w:pPr>
      <w:r>
        <w:rPr>
          <w:b/>
          <w:bCs/>
          <w:color w:val="4A6789"/>
          <w:sz w:val="24"/>
          <w:szCs w:val="24"/>
        </w:rPr>
        <w:t xml:space="preserve">3.6 Het rollenspel (opdracht 19.4, 30 minuten)</w:t>
      </w:r>
    </w:p>
    <w:p>
      <w:pPr>
        <w:spacing w:after="160" w:line="276"/>
      </w:pPr>
      <w:r>
        <w:rPr>
          <w:b/>
          <w:bCs/>
          <w:color w:val="1F2937"/>
          <w:sz w:val="22"/>
          <w:szCs w:val="22"/>
        </w:rPr>
        <w:t xml:space="preserve">Deze opdracht werkt alleen als de toezichthouderrol stevig wordt gespeeld.</w:t>
      </w:r>
      <w:r>
        <w:rPr>
          <w:color w:val="1F2937"/>
          <w:sz w:val="22"/>
          <w:szCs w:val="22"/>
        </w:rPr>
        <w:t xml:space="preserve"> Instrueer die deelnemer vooraf: doorvragen op hoeveel, sinds wanneer, en wat de deelnemer ervan merkt — en niet tevreden zijn met een technische uitleg.</w:t>
      </w:r>
    </w:p>
    <w:p>
      <w:pPr>
        <w:spacing w:after="160" w:line="276"/>
      </w:pPr>
      <w:r>
        <w:rPr>
          <w:b/>
          <w:bCs/>
          <w:color w:val="1F2937"/>
          <w:sz w:val="22"/>
          <w:szCs w:val="22"/>
        </w:rPr>
        <w:t xml:space="preserve">De observator is de belangrijkste rol.</w:t>
      </w:r>
      <w:r>
        <w:rPr>
          <w:color w:val="1F2937"/>
          <w:sz w:val="22"/>
          <w:szCs w:val="22"/>
        </w:rPr>
        <w:t xml:space="preserve"> Hij noteert waar technisch wordt uitgelegd wat feitelijk beantwoord moest worden, en dat is de standaardvalkuil bij dit publiek. In vrijwel elk spel gebeurt het drie tot vier keer.</w:t>
      </w:r>
    </w:p>
    <w:p>
      <w:pPr>
        <w:spacing w:after="160" w:line="276"/>
      </w:pPr>
      <w:r>
        <w:rPr>
          <w:b/>
          <w:bCs/>
          <w:color w:val="1F2937"/>
          <w:sz w:val="22"/>
          <w:szCs w:val="22"/>
        </w:rPr>
        <w:t xml:space="preserve">Plenair bij a) en b).</w:t>
      </w:r>
      <w:r>
        <w:rPr>
          <w:color w:val="1F2937"/>
          <w:sz w:val="22"/>
          <w:szCs w:val="22"/>
        </w:rPr>
        <w:t xml:space="preserve"> Het verschil tussen “de reconstructie is niet volledig” en de deelnemersvariant is het concreetste voorbeeld van het hele dagdeel; laat de groep de tweede formulering zelf produceren.</w:t>
      </w:r>
    </w:p>
    <w:p>
      <w:pPr>
        <w:pStyle w:val="Heading2"/>
        <w:spacing w:after="140" w:before="260"/>
      </w:pPr>
      <w:r>
        <w:rPr>
          <w:b/>
          <w:bCs/>
          <w:color w:val="4A6789"/>
          <w:sz w:val="24"/>
          <w:szCs w:val="24"/>
        </w:rPr>
        <w:t xml:space="preserve">3.7 Afsluiting (slide 28)</w:t>
      </w:r>
    </w:p>
    <w:p>
      <w:pPr>
        <w:spacing w:after="160" w:line="276"/>
      </w:pPr>
      <w:r>
        <w:rPr>
          <w:b/>
          <w:bCs/>
          <w:color w:val="1F2937"/>
          <w:sz w:val="22"/>
          <w:szCs w:val="22"/>
        </w:rPr>
        <w:t xml:space="preserve">De drie valkuilen met hun gemeenschappelijke oorzaak </w:t>
      </w:r>
      <w:r>
        <w:rPr>
          <w:color w:val="1F2937"/>
          <w:sz w:val="22"/>
          <w:szCs w:val="22"/>
        </w:rPr>
        <w:t xml:space="preserve">is de samenvatting die blijft hangen: opgebouwd vanuit wat u weet in plaats van wat de ontvanger moet beslissen.</w:t>
      </w:r>
    </w:p>
    <w:p>
      <w:pPr>
        <w:spacing w:after="160" w:line="276"/>
      </w:pPr>
      <w:r>
        <w:rPr>
          <w:b/>
          <w:bCs/>
          <w:color w:val="1F2937"/>
          <w:sz w:val="22"/>
          <w:szCs w:val="22"/>
        </w:rPr>
        <w:t xml:space="preserve">Kondig opdracht 19.7e expliciet aan.</w:t>
      </w:r>
      <w:r>
        <w:rPr>
          <w:color w:val="1F2937"/>
          <w:sz w:val="22"/>
          <w:szCs w:val="22"/>
        </w:rPr>
        <w:t xml:space="preserve"> Het antwoord op “aan welk publiek communiceert u het minst vaak” is bij architecten opvallend consistent — bestuur, compliance, toezicht — en het gevolg is dat zij in die gesprekken onhandiger zijn dan hun kennis rechtvaardigt. Dat is precies waarom dit competentiegebied bestaat.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“Dit is toch gewoon presenteren?”</w:t>
      </w:r>
      <w:r>
        <w:rPr>
          <w:color w:val="1F2937"/>
          <w:sz w:val="22"/>
          <w:szCs w:val="22"/>
        </w:rPr>
        <w:t xml:space="preserve"> Deels, en het antwoord is dat het architectuurspecifieke zit in de vier publieken en hun vragen. Een algemene presentatietraining leert u niet dat een toezichthouder de tussentijdmaatregel wil horen, of dat een collega-architect twijfel verwacht.</w:t>
      </w:r>
    </w:p>
    <w:p>
      <w:pPr>
        <w:spacing w:after="160" w:line="276"/>
      </w:pPr>
      <w:r>
        <w:rPr>
          <w:b/>
          <w:bCs/>
          <w:color w:val="1F2937"/>
          <w:sz w:val="22"/>
          <w:szCs w:val="22"/>
        </w:rPr>
        <w:t xml:space="preserve">De cynicus over bestuurders.</w:t>
      </w:r>
      <w:r>
        <w:rPr>
          <w:color w:val="1F2937"/>
          <w:sz w:val="22"/>
          <w:szCs w:val="22"/>
        </w:rPr>
        <w:t xml:space="preserve"> “Ze luisteren toch niet” of “ze snappen het niet”. Neem het serieus en draai het om: als een bestuurder na twintig minuten vraagt wat u van hem wilt, is dat informatie over de presentatie en niet over de bestuurder. Bijlage BH is daarvoor het bewijsmateriaal.</w:t>
      </w:r>
    </w:p>
    <w:p>
      <w:pPr>
        <w:spacing w:after="160" w:line="276"/>
      </w:pPr>
      <w:r>
        <w:rPr>
          <w:b/>
          <w:bCs/>
          <w:color w:val="1F2937"/>
          <w:sz w:val="22"/>
          <w:szCs w:val="22"/>
        </w:rPr>
        <w:t xml:space="preserve">De groep wil over hun eigen organisatiepolitiek praten.</w:t>
      </w:r>
      <w:r>
        <w:rPr>
          <w:color w:val="1F2937"/>
          <w:sz w:val="22"/>
          <w:szCs w:val="22"/>
        </w:rPr>
        <w:t xml:space="preserve"> Begrijpelijk en het verdringt de oefening. Geef er ruimte in de terugkoppeling bij opdracht 19.2 en houd de opdrachten bij de casus.</w:t>
      </w:r>
    </w:p>
    <w:p>
      <w:pPr>
        <w:spacing w:after="160" w:line="276"/>
      </w:pPr>
      <w:r>
        <w:rPr>
          <w:b/>
          <w:bCs/>
          <w:color w:val="1F2937"/>
          <w:sz w:val="22"/>
          <w:szCs w:val="22"/>
        </w:rPr>
        <w:t xml:space="preserve">Iemand vindt de vier publieken kunstmatig.</w:t>
      </w:r>
      <w:r>
        <w:rPr>
          <w:color w:val="1F2937"/>
          <w:sz w:val="22"/>
          <w:szCs w:val="22"/>
        </w:rPr>
        <w:t xml:space="preserve"> Vraag naar hun eigen situatie; er komen doorgaans dezelfde vier uit, soms met een vijfde (een ketenpartner, een fondsbestuur). Dat is een goede aanvulling en u kunt hem in opdracht 19.2 laten meenemen.</w:t>
      </w:r>
    </w:p>
    <w:p>
      <w:pPr>
        <w:spacing w:after="160" w:line="276"/>
      </w:pPr>
      <w:r>
        <w:rPr>
          <w:b/>
          <w:bCs/>
          <w:color w:val="1F2937"/>
          <w:sz w:val="22"/>
          <w:szCs w:val="22"/>
        </w:rPr>
        <w:t xml:space="preserve">Deelnemers uit consultancy vinden dit vanzelfsprekend.</w:t>
      </w:r>
      <w:r>
        <w:rPr>
          <w:color w:val="1F2937"/>
          <w:sz w:val="22"/>
          <w:szCs w:val="22"/>
        </w:rPr>
        <w:t xml:space="preserve"> Vaak terecht — zij doen dit dagelijks. Zet hen in als beoordelaar bij opdracht 19.3 en laat hen de besluitnota's van de anderen toetsen. Dat is voor beide partijen nuttiger dan hen het dagdeel te laten uitzitten.</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schrijft een nota zonder aanname bij de aanbeveling? Levert adviezen die als mening worden gelezen; dit is bepalend in het examinatoreninterview van niveau 3.</w:t>
      </w:r>
    </w:p>
    <w:p>
      <w:pPr>
        <w:pStyle w:val="ListParagraph"/>
        <w:numPr>
          <w:ilvl w:val="0"/>
          <w:numId w:val="5"/>
        </w:numPr>
        <w:spacing w:after="120"/>
      </w:pPr>
      <w:r>
        <w:rPr>
          <w:color w:val="1F2937"/>
          <w:sz w:val="22"/>
          <w:szCs w:val="22"/>
        </w:rPr>
        <w:t xml:space="preserve">Wiens vier versies spreken elkaar tegen? Onbewust, en het is de fout die vertrouwen kost.</w:t>
      </w:r>
    </w:p>
    <w:p>
      <w:pPr>
        <w:pStyle w:val="ListParagraph"/>
        <w:numPr>
          <w:ilvl w:val="0"/>
          <w:numId w:val="5"/>
        </w:numPr>
        <w:spacing w:after="120"/>
      </w:pPr>
      <w:r>
        <w:rPr>
          <w:color w:val="1F2937"/>
          <w:sz w:val="22"/>
          <w:szCs w:val="22"/>
        </w:rPr>
        <w:t xml:space="preserve">Wie legt bij het rollenspel technisch uit wat feitelijk gevraagd werd? Terugkerend patroon; komt in niveau 3, deel 25 (bestuurstaal) opnieuw aan de orde.</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19</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BH: de mislukte stuurgroeppresentatie, achttien dia's — het belangrijkste materiaal</w:t>
      </w:r>
    </w:p>
    <w:p>
      <w:pPr>
        <w:pStyle w:val="ListParagraph"/>
        <w:numPr>
          <w:ilvl w:val="0"/>
          <w:numId w:val="3"/>
        </w:numPr>
        <w:spacing w:after="100"/>
      </w:pPr>
      <w:r>
        <w:rPr>
          <w:color w:val="1F2937"/>
          <w:sz w:val="22"/>
          <w:szCs w:val="22"/>
        </w:rPr>
        <w:t xml:space="preserve">Bijlage BI: verslag van het toezichthoudergesprek met de onbeantwoorde vraag</w:t>
      </w:r>
    </w:p>
    <w:p>
      <w:pPr>
        <w:pStyle w:val="ListParagraph"/>
        <w:numPr>
          <w:ilvl w:val="0"/>
          <w:numId w:val="3"/>
        </w:numPr>
        <w:spacing w:after="100"/>
      </w:pPr>
      <w:r>
        <w:rPr>
          <w:color w:val="1F2937"/>
          <w:sz w:val="22"/>
          <w:szCs w:val="22"/>
        </w:rPr>
        <w:t xml:space="preserve">Bijlage BJ: vier rolkaarten met belangen en kennisniveau</w:t>
      </w:r>
    </w:p>
    <w:p>
      <w:pPr>
        <w:pStyle w:val="ListParagraph"/>
        <w:numPr>
          <w:ilvl w:val="0"/>
          <w:numId w:val="3"/>
        </w:numPr>
        <w:spacing w:after="100"/>
      </w:pPr>
      <w:r>
        <w:rPr>
          <w:color w:val="1F2937"/>
          <w:sz w:val="22"/>
          <w:szCs w:val="22"/>
        </w:rPr>
        <w:t xml:space="preserve">Bijlage BK: drie voortgangsrapportages met hetzelfde risico, verschillend gepresenteerd</w:t>
      </w:r>
    </w:p>
    <w:p>
      <w:pPr>
        <w:pStyle w:val="ListParagraph"/>
        <w:numPr>
          <w:ilvl w:val="0"/>
          <w:numId w:val="3"/>
        </w:numPr>
        <w:spacing w:after="100"/>
      </w:pPr>
      <w:r>
        <w:rPr>
          <w:color w:val="1F2937"/>
          <w:sz w:val="22"/>
          <w:szCs w:val="22"/>
        </w:rPr>
        <w:t xml:space="preserve">De risicothema's uit deel 18 — deelnemers hebben ze nodig bij opdracht 19.2</w:t>
      </w:r>
    </w:p>
    <w:p>
      <w:pPr>
        <w:pStyle w:val="ListParagraph"/>
        <w:numPr>
          <w:ilvl w:val="0"/>
          <w:numId w:val="3"/>
        </w:numPr>
        <w:spacing w:after="100"/>
      </w:pPr>
      <w:r>
        <w:rPr>
          <w:color w:val="1F2937"/>
          <w:sz w:val="22"/>
          <w:szCs w:val="22"/>
        </w:rPr>
        <w:t xml:space="preserve">Papier voor de besluitnota's; één A4 per duo, en handhaaf die grens</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20 behandelt soft skills: modereren, argumenteren, omgaan met weerstand en het bereiken van besluiten in groepen. Het is los aanbiedbaar en wordt ook buiten deze cursus gegeven.</w:t>
      </w:r>
    </w:p>
    <w:p>
      <w:pPr>
        <w:spacing w:after="160" w:line="276"/>
      </w:pPr>
      <w:r>
        <w:rPr>
          <w:color w:val="1F2937"/>
          <w:sz w:val="22"/>
          <w:szCs w:val="22"/>
        </w:rPr>
        <w:t xml:space="preserve">De brug: vandaag ging het over de vorm van uw boodschap. Volgende keer over het gesprek zelf — wat u doet als de stuurgroep het niet eens wordt, als twee teams een technische discussie voeren die eigenlijk over iets anders gaat, en hoe u een besluit bereikt zonder het af te dwingen.</w:t>
      </w:r>
    </w:p>
    <w:p>
      <w:pPr>
        <w:pBdr>
          <w:top w:val="single" w:color="E5E7EB" w:sz="4" w:space="8"/>
        </w:pBdr>
        <w:spacing w:before="400"/>
        <w:jc w:val="center"/>
      </w:pPr>
      <w:r>
        <w:rPr>
          <w:i/>
          <w:iCs/>
          <w:color w:val="6B7280"/>
          <w:sz w:val="17"/>
          <w:szCs w:val="17"/>
        </w:rPr>
        <w:t xml:space="preserve">Ductus B.V. · Cursus Softwarearchitectuur · Niveau 2, deel 19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2026-08-17T19:36:40.391Z</dcterms:created>
  <dcterms:modified xsi:type="dcterms:W3CDTF">2026-08-17T19:36:40.392Z</dcterms:modified>
</cp:coreProperties>
</file>

<file path=docProps/custom.xml><?xml version="1.0" encoding="utf-8"?>
<Properties xmlns="http://schemas.openxmlformats.org/officeDocument/2006/custom-properties" xmlns:vt="http://schemas.openxmlformats.org/officeDocument/2006/docPropsVTypes"/>
</file>