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19 — Documentatie en stakeholdercommunicatie</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19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w:t>
            </w:r>
          </w:p>
          <w:p>
            <w:pPr>
              <w:spacing w:before="120"/>
            </w:pPr>
            <w:r>
              <w:rPr>
                <w:b/>
                <w:bCs/>
                <w:i/>
                <w:iCs/>
                <w:color w:val="1F2937"/>
                <w:sz w:val="21"/>
                <w:szCs w:val="21"/>
              </w:rPr>
              <w:t xml:space="preserve">Dit is het eerste deel in het communicatieve competentiegebied. </w:t>
            </w:r>
            <w:r>
              <w:rPr>
                <w:i/>
                <w:iCs/>
                <w:color w:val="1F2937"/>
                <w:sz w:val="21"/>
                <w:szCs w:val="21"/>
              </w:rPr>
              <w:t xml:space="preserve">Dat gebied telt in het Advanced-traject even zwaar mee als het methodische en het technologische, en het wordt door architecten stelselmatig onderschat. De reden dat het meetelt is empirisch: architectuurbeslissingen sneuvelen vaker op communicatie dan op inhoud.</w:t>
            </w:r>
          </w:p>
        </w:tc>
      </w:tr>
    </w:tbl>
    <w:p>
      <w:pPr>
        <w:spacing w:after="160" w:line="276"/>
      </w:pPr>
      <w:r>
        <w:rPr>
          <w:i/>
          <w:iCs/>
          <w:color w:val="6B7280"/>
          <w:sz w:val="22"/>
          <w:szCs w:val="22"/>
        </w:rPr>
        <w:t xml:space="preserve">Competentiegebied: communicatief</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het verschil benoemen tussen documentatie voor naslag en communicatie voor besluitvorming;</w:t>
      </w:r>
    </w:p>
    <w:p>
      <w:pPr>
        <w:pStyle w:val="ListParagraph"/>
        <w:numPr>
          <w:ilvl w:val="0"/>
          <w:numId w:val="2"/>
        </w:numPr>
        <w:spacing w:after="120"/>
      </w:pPr>
      <w:r>
        <w:rPr>
          <w:color w:val="1F2937"/>
          <w:sz w:val="22"/>
          <w:szCs w:val="22"/>
        </w:rPr>
        <w:t xml:space="preserve">dezelfde architectuur beschrijven voor vier publieken zonder haar te vervalsen;</w:t>
      </w:r>
    </w:p>
    <w:p>
      <w:pPr>
        <w:pStyle w:val="ListParagraph"/>
        <w:numPr>
          <w:ilvl w:val="0"/>
          <w:numId w:val="2"/>
        </w:numPr>
        <w:spacing w:after="120"/>
      </w:pPr>
      <w:r>
        <w:rPr>
          <w:color w:val="1F2937"/>
          <w:sz w:val="22"/>
          <w:szCs w:val="22"/>
        </w:rPr>
        <w:t xml:space="preserve">een architectuurbesluit voorleggen aan een bestuurlijk gremium in bestuurlijke taal;</w:t>
      </w:r>
    </w:p>
    <w:p>
      <w:pPr>
        <w:pStyle w:val="ListParagraph"/>
        <w:numPr>
          <w:ilvl w:val="0"/>
          <w:numId w:val="2"/>
        </w:numPr>
        <w:spacing w:after="120"/>
      </w:pPr>
      <w:r>
        <w:rPr>
          <w:color w:val="1F2937"/>
          <w:sz w:val="22"/>
          <w:szCs w:val="22"/>
        </w:rPr>
        <w:t xml:space="preserve">slecht nieuws over technische schuld of risico's brengen zodat het bruikbaar is;</w:t>
      </w:r>
    </w:p>
    <w:p>
      <w:pPr>
        <w:pStyle w:val="ListParagraph"/>
        <w:numPr>
          <w:ilvl w:val="0"/>
          <w:numId w:val="2"/>
        </w:numPr>
        <w:spacing w:after="120"/>
      </w:pPr>
      <w:r>
        <w:rPr>
          <w:color w:val="1F2937"/>
          <w:sz w:val="22"/>
          <w:szCs w:val="22"/>
        </w:rPr>
        <w:t xml:space="preserve">documentatie inrichten die bij de organisatie past qua tempo en verwachting;</w:t>
      </w:r>
    </w:p>
    <w:p>
      <w:pPr>
        <w:pStyle w:val="ListParagraph"/>
        <w:numPr>
          <w:ilvl w:val="0"/>
          <w:numId w:val="2"/>
        </w:numPr>
        <w:spacing w:after="120"/>
      </w:pPr>
      <w:r>
        <w:rPr>
          <w:color w:val="1F2937"/>
          <w:sz w:val="22"/>
          <w:szCs w:val="22"/>
        </w:rPr>
        <w:t xml:space="preserve">de valkuilen benoemen van de architect die te veel, te weinig of het verkeerde vertelt.</w:t>
      </w:r>
    </w:p>
    <w:p>
      <w:pPr>
        <w:pStyle w:val="Heading1"/>
        <w:pBdr>
          <w:bottom w:val="single" w:color="E5E7EB" w:sz="6" w:space="6"/>
        </w:pBdr>
        <w:spacing w:after="180" w:before="380"/>
      </w:pPr>
      <w:r>
        <w:rPr>
          <w:b/>
          <w:bCs/>
          <w:color w:val="1F3A5F"/>
          <w:sz w:val="30"/>
          <w:szCs w:val="30"/>
        </w:rPr>
        <w:t xml:space="preserve">19.1 De aanleiding: drie keer hetzelfde verhaal, drie keer mis</w:t>
      </w:r>
    </w:p>
    <w:p>
      <w:pPr>
        <w:spacing w:after="160" w:line="276"/>
      </w:pPr>
      <w:r>
        <w:rPr>
          <w:color w:val="1F2937"/>
          <w:sz w:val="22"/>
          <w:szCs w:val="22"/>
        </w:rPr>
        <w:t xml:space="preserve">Uit de evaluatie van deel 18 zijn drie risicothema's gekomen. In de weken erna gebeurt het volgende:</w:t>
      </w:r>
    </w:p>
    <w:p>
      <w:pPr>
        <w:spacing w:after="160" w:line="276"/>
      </w:pPr>
      <w:r>
        <w:rPr>
          <w:b/>
          <w:bCs/>
          <w:color w:val="1F2937"/>
          <w:sz w:val="22"/>
          <w:szCs w:val="22"/>
        </w:rPr>
        <w:t xml:space="preserve">De stuurgroep.</w:t>
      </w:r>
      <w:r>
        <w:rPr>
          <w:color w:val="1F2937"/>
          <w:sz w:val="22"/>
          <w:szCs w:val="22"/>
        </w:rPr>
        <w:t xml:space="preserve"> De architect presenteert een overzicht met twintig bevindingen, gerangschikt naar ernst, met per bevinding het technische mechanisme. Na twintig minuten vraagt de programmadirecteur: “wat wilt u nu van ons?” Er volgt geen besluit.</w:t>
      </w:r>
    </w:p>
    <w:p>
      <w:pPr>
        <w:spacing w:after="160" w:line="276"/>
      </w:pPr>
      <w:r>
        <w:rPr>
          <w:b/>
          <w:bCs/>
          <w:color w:val="1F2937"/>
          <w:sz w:val="22"/>
          <w:szCs w:val="22"/>
        </w:rPr>
        <w:t xml:space="preserve">Het bouwteam.</w:t>
      </w:r>
      <w:r>
        <w:rPr>
          <w:color w:val="1F2937"/>
          <w:sz w:val="22"/>
          <w:szCs w:val="22"/>
        </w:rPr>
        <w:t xml:space="preserve"> Dezelfde bevindingen worden in een sprintreview toegelicht op hoofdlijnen, met de nadruk op de thema's. Een ontwikkelaar vraagt na afloop welke van de drie thema's zijn module raakt. De architect kan het niet zeggen zonder het rapport erbij te pakken.</w:t>
      </w:r>
    </w:p>
    <w:p>
      <w:pPr>
        <w:spacing w:after="160" w:line="276"/>
      </w:pPr>
      <w:r>
        <w:rPr>
          <w:b/>
          <w:bCs/>
          <w:color w:val="1F2937"/>
          <w:sz w:val="22"/>
          <w:szCs w:val="22"/>
        </w:rPr>
        <w:t xml:space="preserve">De toezichthouder.</w:t>
      </w:r>
      <w:r>
        <w:rPr>
          <w:color w:val="1F2937"/>
          <w:sz w:val="22"/>
          <w:szCs w:val="22"/>
        </w:rPr>
        <w:t xml:space="preserve"> In een periodiek gesprek noemt Meridiaan de bevinding over aantoonbaarheid. De toezichthouder vraagt wat er ondertussen gebeurt met dossiers die niet volledig te reconstrueren zijn. De architect weet het antwoord wel technisch en niet in termen van wat de deelnemer merkt.</w:t>
      </w:r>
    </w:p>
    <w:p>
      <w:pPr>
        <w:spacing w:after="160" w:line="276"/>
      </w:pPr>
      <w:r>
        <w:rPr>
          <w:b/>
          <w:bCs/>
          <w:color w:val="1F2937"/>
          <w:sz w:val="22"/>
          <w:szCs w:val="22"/>
        </w:rPr>
        <w:t xml:space="preserve">Drie keer hetzelfde materiaal, drie keer een mislukte overdracht</w:t>
      </w:r>
      <w:r>
        <w:rPr>
          <w:color w:val="1F2937"/>
          <w:sz w:val="22"/>
          <w:szCs w:val="22"/>
        </w:rPr>
        <w:t xml:space="preserve"> — en in geen van de drie gevallen was de inhoud fout.</w:t>
      </w:r>
    </w:p>
    <w:p>
      <w:pPr>
        <w:pStyle w:val="Heading1"/>
        <w:pBdr>
          <w:bottom w:val="single" w:color="E5E7EB" w:sz="6" w:space="6"/>
        </w:pBdr>
        <w:spacing w:after="180" w:before="380"/>
      </w:pPr>
      <w:r>
        <w:rPr>
          <w:b/>
          <w:bCs/>
          <w:color w:val="1F3A5F"/>
          <w:sz w:val="30"/>
          <w:szCs w:val="30"/>
        </w:rPr>
        <w:t xml:space="preserve">19.2 Documentatie tegenover communicatie</w:t>
      </w:r>
    </w:p>
    <w:p>
      <w:pPr>
        <w:spacing w:after="160" w:line="276"/>
      </w:pPr>
      <w:r>
        <w:rPr>
          <w:color w:val="1F2937"/>
          <w:sz w:val="22"/>
          <w:szCs w:val="22"/>
        </w:rPr>
        <w:t xml:space="preserve">Deze twee worden door elkaar gehaald en zij hebben een ander doel, een ander tempo en een andere vorm.</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000"/>
        <w:gridCol w:w="3669"/>
        <w:gridCol w:w="3669"/>
      </w:tblGrid>
      <w:tr>
        <w:trPr>
          <w:tblHeader/>
        </w:trPr>
        <w:tc>
          <w:tcPr>
            <w:tcW w:type="dxa" w:w="2000"/>
            <w:shd w:fill="1F3A5F" w:val="clear"/>
            <w:tcMar>
              <w:top w:type="dxa" w:w="100"/>
              <w:left w:type="dxa" w:w="120"/>
              <w:bottom w:type="dxa" w:w="100"/>
              <w:right w:type="dxa" w:w="120"/>
            </w:tcMar>
            <w:vAlign w:val="center"/>
          </w:tcPr>
          <w:p>
            <w:r>
              <w:rPr>
                <w:b/>
                <w:bCs/>
                <w:color w:val="FFFFFF"/>
                <w:sz w:val="19"/>
                <w:szCs w:val="19"/>
              </w:rPr>
              <w:t xml:space="preserve"/>
            </w:r>
          </w:p>
        </w:tc>
        <w:tc>
          <w:tcPr>
            <w:tcW w:type="dxa" w:w="3669"/>
            <w:shd w:fill="1F3A5F" w:val="clear"/>
            <w:tcMar>
              <w:top w:type="dxa" w:w="100"/>
              <w:left w:type="dxa" w:w="120"/>
              <w:bottom w:type="dxa" w:w="100"/>
              <w:right w:type="dxa" w:w="120"/>
            </w:tcMar>
            <w:vAlign w:val="center"/>
          </w:tcPr>
          <w:p>
            <w:r>
              <w:rPr>
                <w:b/>
                <w:bCs/>
                <w:color w:val="FFFFFF"/>
                <w:sz w:val="19"/>
                <w:szCs w:val="19"/>
              </w:rPr>
              <w:t xml:space="preserve">Documentatie</w:t>
            </w:r>
          </w:p>
        </w:tc>
        <w:tc>
          <w:tcPr>
            <w:tcW w:type="dxa" w:w="3669"/>
            <w:shd w:fill="1F3A5F" w:val="clear"/>
            <w:tcMar>
              <w:top w:type="dxa" w:w="100"/>
              <w:left w:type="dxa" w:w="120"/>
              <w:bottom w:type="dxa" w:w="100"/>
              <w:right w:type="dxa" w:w="120"/>
            </w:tcMar>
            <w:vAlign w:val="center"/>
          </w:tcPr>
          <w:p>
            <w:r>
              <w:rPr>
                <w:b/>
                <w:bCs/>
                <w:color w:val="FFFFFF"/>
                <w:sz w:val="19"/>
                <w:szCs w:val="19"/>
              </w:rPr>
              <w:t xml:space="preserve">Communicatie</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Doel</w:t>
            </w:r>
          </w:p>
        </w:tc>
        <w:tc>
          <w:tcPr>
            <w:tcW w:type="dxa" w:w="3669"/>
            <w:tcMar>
              <w:top w:type="dxa" w:w="100"/>
              <w:left w:type="dxa" w:w="120"/>
              <w:bottom w:type="dxa" w:w="100"/>
              <w:right w:type="dxa" w:w="120"/>
            </w:tcMar>
            <w:vAlign w:val="center"/>
          </w:tcPr>
          <w:p>
            <w:r>
              <w:rPr>
                <w:b w:val="false"/>
                <w:bCs w:val="false"/>
                <w:color w:val="1F2937"/>
                <w:sz w:val="19"/>
                <w:szCs w:val="19"/>
              </w:rPr>
              <w:t xml:space="preserve">Naslag: iemand zoekt iets op</w:t>
            </w:r>
          </w:p>
        </w:tc>
        <w:tc>
          <w:tcPr>
            <w:tcW w:type="dxa" w:w="3669"/>
            <w:tcMar>
              <w:top w:type="dxa" w:w="100"/>
              <w:left w:type="dxa" w:w="120"/>
              <w:bottom w:type="dxa" w:w="100"/>
              <w:right w:type="dxa" w:w="120"/>
            </w:tcMar>
            <w:vAlign w:val="center"/>
          </w:tcPr>
          <w:p>
            <w:r>
              <w:rPr>
                <w:b w:val="false"/>
                <w:bCs w:val="false"/>
                <w:color w:val="1F2937"/>
                <w:sz w:val="19"/>
                <w:szCs w:val="19"/>
              </w:rPr>
              <w:t xml:space="preserve">Besluit of gedragsverandering</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Moment</w:t>
            </w:r>
          </w:p>
        </w:tc>
        <w:tc>
          <w:tcPr>
            <w:tcW w:type="dxa" w:w="3669"/>
            <w:tcMar>
              <w:top w:type="dxa" w:w="100"/>
              <w:left w:type="dxa" w:w="120"/>
              <w:bottom w:type="dxa" w:w="100"/>
              <w:right w:type="dxa" w:w="120"/>
            </w:tcMar>
            <w:vAlign w:val="center"/>
          </w:tcPr>
          <w:p>
            <w:r>
              <w:rPr>
                <w:b w:val="false"/>
                <w:bCs w:val="false"/>
                <w:color w:val="1F2937"/>
                <w:sz w:val="19"/>
                <w:szCs w:val="19"/>
              </w:rPr>
              <w:t xml:space="preserve">Wanneer de lezer het nodig heeft</w:t>
            </w:r>
          </w:p>
        </w:tc>
        <w:tc>
          <w:tcPr>
            <w:tcW w:type="dxa" w:w="3669"/>
            <w:tcMar>
              <w:top w:type="dxa" w:w="100"/>
              <w:left w:type="dxa" w:w="120"/>
              <w:bottom w:type="dxa" w:w="100"/>
              <w:right w:type="dxa" w:w="120"/>
            </w:tcMar>
            <w:vAlign w:val="center"/>
          </w:tcPr>
          <w:p>
            <w:r>
              <w:rPr>
                <w:b w:val="false"/>
                <w:bCs w:val="false"/>
                <w:color w:val="1F2937"/>
                <w:sz w:val="19"/>
                <w:szCs w:val="19"/>
              </w:rPr>
              <w:t xml:space="preserve">Nu, in een gesprek</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Volledigheid</w:t>
            </w:r>
          </w:p>
        </w:tc>
        <w:tc>
          <w:tcPr>
            <w:tcW w:type="dxa" w:w="3669"/>
            <w:tcMar>
              <w:top w:type="dxa" w:w="100"/>
              <w:left w:type="dxa" w:w="120"/>
              <w:bottom w:type="dxa" w:w="100"/>
              <w:right w:type="dxa" w:w="120"/>
            </w:tcMar>
            <w:vAlign w:val="center"/>
          </w:tcPr>
          <w:p>
            <w:r>
              <w:rPr>
                <w:b w:val="false"/>
                <w:bCs w:val="false"/>
                <w:color w:val="1F2937"/>
                <w:sz w:val="19"/>
                <w:szCs w:val="19"/>
              </w:rPr>
              <w:t xml:space="preserve">Zo compleet als nuttig</w:t>
            </w:r>
          </w:p>
        </w:tc>
        <w:tc>
          <w:tcPr>
            <w:tcW w:type="dxa" w:w="3669"/>
            <w:tcMar>
              <w:top w:type="dxa" w:w="100"/>
              <w:left w:type="dxa" w:w="120"/>
              <w:bottom w:type="dxa" w:w="100"/>
              <w:right w:type="dxa" w:w="120"/>
            </w:tcMar>
            <w:vAlign w:val="center"/>
          </w:tcPr>
          <w:p>
            <w:r>
              <w:rPr>
                <w:b w:val="false"/>
                <w:bCs w:val="false"/>
                <w:color w:val="1F2937"/>
                <w:sz w:val="19"/>
                <w:szCs w:val="19"/>
              </w:rPr>
              <w:t xml:space="preserve">Zo beperkt als mogelijk</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Succes</w:t>
            </w:r>
          </w:p>
        </w:tc>
        <w:tc>
          <w:tcPr>
            <w:tcW w:type="dxa" w:w="3669"/>
            <w:tcMar>
              <w:top w:type="dxa" w:w="100"/>
              <w:left w:type="dxa" w:w="120"/>
              <w:bottom w:type="dxa" w:w="100"/>
              <w:right w:type="dxa" w:w="120"/>
            </w:tcMar>
            <w:vAlign w:val="center"/>
          </w:tcPr>
          <w:p>
            <w:r>
              <w:rPr>
                <w:b w:val="false"/>
                <w:bCs w:val="false"/>
                <w:color w:val="1F2937"/>
                <w:sz w:val="19"/>
                <w:szCs w:val="19"/>
              </w:rPr>
              <w:t xml:space="preserve">De lezer vindt wat hij zocht</w:t>
            </w:r>
          </w:p>
        </w:tc>
        <w:tc>
          <w:tcPr>
            <w:tcW w:type="dxa" w:w="3669"/>
            <w:tcMar>
              <w:top w:type="dxa" w:w="100"/>
              <w:left w:type="dxa" w:w="120"/>
              <w:bottom w:type="dxa" w:w="100"/>
              <w:right w:type="dxa" w:w="120"/>
            </w:tcMar>
            <w:vAlign w:val="center"/>
          </w:tcPr>
          <w:p>
            <w:r>
              <w:rPr>
                <w:b w:val="false"/>
                <w:bCs w:val="false"/>
                <w:color w:val="1F2937"/>
                <w:sz w:val="19"/>
                <w:szCs w:val="19"/>
              </w:rPr>
              <w:t xml:space="preserve">Er valt een besluit, of iemand doet iets anders</w:t>
            </w:r>
          </w:p>
        </w:tc>
      </w:tr>
    </w:tbl>
    <w:p>
      <w:pPr>
        <w:spacing w:after="300"/>
      </w:pPr>
    </w:p>
    <w:p>
      <w:pPr>
        <w:spacing w:after="160" w:line="276"/>
      </w:pPr>
      <w:r>
        <w:rPr>
          <w:b/>
          <w:bCs/>
          <w:color w:val="1F2937"/>
          <w:sz w:val="22"/>
          <w:szCs w:val="22"/>
        </w:rPr>
        <w:t xml:space="preserve">Uit deel 7 kent u de documentatiekant.</w:t>
      </w:r>
      <w:r>
        <w:rPr>
          <w:color w:val="1F2937"/>
          <w:sz w:val="22"/>
          <w:szCs w:val="22"/>
        </w:rPr>
        <w:t xml:space="preserve"> arc42, C4, ADR's — dat is naslag, en de toets was: wie leest dit, en welke beslissing neemt hij ermee?</w:t>
      </w:r>
    </w:p>
    <w:p>
      <w:pPr>
        <w:spacing w:after="160" w:line="276"/>
      </w:pPr>
      <w:r>
        <w:rPr>
          <w:b/>
          <w:bCs/>
          <w:color w:val="1F2937"/>
          <w:sz w:val="22"/>
          <w:szCs w:val="22"/>
        </w:rPr>
        <w:t xml:space="preserve">Communicatie stelt een andere eis.</w:t>
      </w:r>
      <w:r>
        <w:rPr>
          <w:color w:val="1F2937"/>
          <w:sz w:val="22"/>
          <w:szCs w:val="22"/>
        </w:rPr>
        <w:t xml:space="preserve"> Een presentatie voor een stuurgroep is geen samenvatting van uw documentatie. Zij is een middel om een besluit te krijgen, en alles wat daar niet aan bijdraagt, hoort er niet in — hoe waar het ook is.</w:t>
      </w:r>
    </w:p>
    <w:p>
      <w:pPr>
        <w:spacing w:after="160" w:line="276"/>
      </w:pPr>
      <w:r>
        <w:rPr>
          <w:b/>
          <w:bCs/>
          <w:color w:val="1F2937"/>
          <w:sz w:val="22"/>
          <w:szCs w:val="22"/>
        </w:rPr>
        <w:t xml:space="preserve">De fout in de stuurgroep</w:t>
      </w:r>
      <w:r>
        <w:rPr>
          <w:color w:val="1F2937"/>
          <w:sz w:val="22"/>
          <w:szCs w:val="22"/>
        </w:rPr>
        <w:t xml:space="preserve"> was precies dat: twintig bevindingen met hun mechanisme is uitstekende documentatie en het is geen communicatie. Er stond geen vraag in.</w:t>
      </w:r>
    </w:p>
    <w:p>
      <w:pPr>
        <w:pStyle w:val="Heading1"/>
        <w:pBdr>
          <w:bottom w:val="single" w:color="E5E7EB" w:sz="6" w:space="6"/>
        </w:pBdr>
        <w:spacing w:after="180" w:before="380"/>
      </w:pPr>
      <w:r>
        <w:rPr>
          <w:b/>
          <w:bCs/>
          <w:color w:val="1F3A5F"/>
          <w:sz w:val="30"/>
          <w:szCs w:val="30"/>
        </w:rPr>
        <w:t xml:space="preserve">19.3 Vier publieken, één architectuur</w:t>
      </w:r>
    </w:p>
    <w:p>
      <w:pPr>
        <w:spacing w:after="160" w:line="276"/>
      </w:pPr>
      <w:r>
        <w:rPr>
          <w:b/>
          <w:bCs/>
          <w:color w:val="1F2937"/>
          <w:sz w:val="22"/>
          <w:szCs w:val="22"/>
        </w:rPr>
        <w:t xml:space="preserve">Dezelfde architectuur, vier verschillende verhalen.</w:t>
      </w:r>
      <w:r>
        <w:rPr>
          <w:color w:val="1F2937"/>
          <w:sz w:val="22"/>
          <w:szCs w:val="22"/>
        </w:rPr>
        <w:t xml:space="preserve"> Het verhaal verschilt; de feiten niet. Dat onderscheid is de kern van dit deel: aanpassen aan uw publiek is niet hetzelfde als iets anders vertellen.</w:t>
      </w:r>
    </w:p>
    <w:p>
      <w:pPr>
        <w:pStyle w:val="Heading2"/>
        <w:spacing w:after="140" w:before="260"/>
      </w:pPr>
      <w:r>
        <w:rPr>
          <w:b/>
          <w:bCs/>
          <w:color w:val="4A6789"/>
          <w:sz w:val="24"/>
          <w:szCs w:val="24"/>
        </w:rPr>
        <w:t xml:space="preserve">Het bestuurlijk gremium</w:t>
      </w:r>
    </w:p>
    <w:p>
      <w:pPr>
        <w:spacing w:after="160" w:line="276"/>
      </w:pPr>
      <w:r>
        <w:rPr>
          <w:b/>
          <w:bCs/>
          <w:color w:val="1F2937"/>
          <w:sz w:val="22"/>
          <w:szCs w:val="22"/>
        </w:rPr>
        <w:t xml:space="preserve">Wat hen bezighoudt: </w:t>
      </w:r>
      <w:r>
        <w:rPr>
          <w:color w:val="1F2937"/>
          <w:sz w:val="22"/>
          <w:szCs w:val="22"/>
        </w:rPr>
        <w:t xml:space="preserve">geld, tijd, risico, en de vraag of dit programma opnieuw ontspoort.</w:t>
      </w:r>
    </w:p>
    <w:p>
      <w:pPr>
        <w:spacing w:after="160" w:line="276"/>
      </w:pPr>
      <w:r>
        <w:rPr>
          <w:b/>
          <w:bCs/>
          <w:color w:val="1F2937"/>
          <w:sz w:val="22"/>
          <w:szCs w:val="22"/>
        </w:rPr>
        <w:t xml:space="preserve">Wat werkt: </w:t>
      </w:r>
      <w:r>
        <w:rPr>
          <w:color w:val="1F2937"/>
          <w:sz w:val="22"/>
          <w:szCs w:val="22"/>
        </w:rPr>
        <w:t xml:space="preserve">beginnen met de beslissing die u vraagt. Daarna de twee of drie thema's, elk met gevolg en kosten. Getallen waar u ze hebt. Eindigen met wat er gebeurt als er niets gebeurt.</w:t>
      </w:r>
    </w:p>
    <w:p>
      <w:pPr>
        <w:spacing w:after="160" w:line="276"/>
      </w:pPr>
      <w:r>
        <w:rPr>
          <w:b/>
          <w:bCs/>
          <w:color w:val="1F2937"/>
          <w:sz w:val="22"/>
          <w:szCs w:val="22"/>
        </w:rPr>
        <w:t xml:space="preserve">Wat niet werkt: </w:t>
      </w:r>
      <w:r>
        <w:rPr>
          <w:color w:val="1F2937"/>
          <w:sz w:val="22"/>
          <w:szCs w:val="22"/>
        </w:rPr>
        <w:t xml:space="preserve">mechanismen, technologie, en volledigheid. Een bestuurder die begrijpt hoe iets werkt, is nog steeds geen bestuurder die weet wat hij moet besluiten.</w:t>
      </w:r>
    </w:p>
    <w:p>
      <w:pPr>
        <w:spacing w:after="160" w:line="276"/>
      </w:pPr>
      <w:r>
        <w:rPr>
          <w:b/>
          <w:bCs/>
          <w:color w:val="1F2937"/>
          <w:sz w:val="22"/>
          <w:szCs w:val="22"/>
        </w:rPr>
        <w:t xml:space="preserve">De vorm die werkt </w:t>
      </w:r>
      <w:r>
        <w:rPr>
          <w:color w:val="1F2937"/>
          <w:sz w:val="22"/>
          <w:szCs w:val="22"/>
        </w:rPr>
        <w:t xml:space="preserve">is één pagina met vier blokken: de vraag, de situatie, de opties met gevolgen, en de aanbeveling. Uw dertig pagina's zijn de bijlage.</w:t>
      </w:r>
    </w:p>
    <w:p>
      <w:pPr>
        <w:pStyle w:val="Heading2"/>
        <w:spacing w:after="140" w:before="260"/>
      </w:pPr>
      <w:r>
        <w:rPr>
          <w:b/>
          <w:bCs/>
          <w:color w:val="4A6789"/>
          <w:sz w:val="24"/>
          <w:szCs w:val="24"/>
        </w:rPr>
        <w:t xml:space="preserve">Het bouwteam</w:t>
      </w:r>
    </w:p>
    <w:p>
      <w:pPr>
        <w:spacing w:after="160" w:line="276"/>
      </w:pPr>
      <w:r>
        <w:rPr>
          <w:b/>
          <w:bCs/>
          <w:color w:val="1F2937"/>
          <w:sz w:val="22"/>
          <w:szCs w:val="22"/>
        </w:rPr>
        <w:t xml:space="preserve">Wat hen bezighoudt: </w:t>
      </w:r>
      <w:r>
        <w:rPr>
          <w:color w:val="1F2937"/>
          <w:sz w:val="22"/>
          <w:szCs w:val="22"/>
        </w:rPr>
        <w:t xml:space="preserve">wat betekent dit voor mijn werk, deze sprint en de volgende?</w:t>
      </w:r>
    </w:p>
    <w:p>
      <w:pPr>
        <w:spacing w:after="160" w:line="276"/>
      </w:pPr>
      <w:r>
        <w:rPr>
          <w:b/>
          <w:bCs/>
          <w:color w:val="1F2937"/>
          <w:sz w:val="22"/>
          <w:szCs w:val="22"/>
        </w:rPr>
        <w:t xml:space="preserve">Wat werkt: </w:t>
      </w:r>
      <w:r>
        <w:rPr>
          <w:color w:val="1F2937"/>
          <w:sz w:val="22"/>
          <w:szCs w:val="22"/>
        </w:rPr>
        <w:t xml:space="preserve">specifiek zijn. Niet “we moeten de modulegrenzen beter bewaken” maar “in module X en Y staan zestien overtredingen; de nieuwe controle faalt op nieuwe, en de bestaande lossen we op zodra iemand dat bestand toch aanraakt.”</w:t>
      </w:r>
    </w:p>
    <w:p>
      <w:pPr>
        <w:spacing w:after="160" w:line="276"/>
      </w:pPr>
      <w:r>
        <w:rPr>
          <w:b/>
          <w:bCs/>
          <w:color w:val="1F2937"/>
          <w:sz w:val="22"/>
          <w:szCs w:val="22"/>
        </w:rPr>
        <w:t xml:space="preserve">Wat niet werkt: </w:t>
      </w:r>
      <w:r>
        <w:rPr>
          <w:color w:val="1F2937"/>
          <w:sz w:val="22"/>
          <w:szCs w:val="22"/>
        </w:rPr>
        <w:t xml:space="preserve">thema's. Een thema is een bestuurlijk hulpmiddel; een ontwikkelaar heeft er niets aan.</w:t>
      </w:r>
    </w:p>
    <w:p>
      <w:pPr>
        <w:spacing w:after="160" w:line="276"/>
      </w:pPr>
      <w:r>
        <w:rPr>
          <w:b/>
          <w:bCs/>
          <w:color w:val="1F2937"/>
          <w:sz w:val="22"/>
          <w:szCs w:val="22"/>
        </w:rPr>
        <w:t xml:space="preserve">De valkuil </w:t>
      </w:r>
      <w:r>
        <w:rPr>
          <w:color w:val="1F2937"/>
          <w:sz w:val="22"/>
          <w:szCs w:val="22"/>
        </w:rPr>
        <w:t xml:space="preserve">is de architect die het team op hoofdlijnen informeert uit beleefdheid — “ik zal jullie niet vermoeien met details”. Dat team moet het bouwen, en de details zijn hun werk.</w:t>
      </w:r>
    </w:p>
    <w:p>
      <w:pPr>
        <w:pStyle w:val="Heading2"/>
        <w:spacing w:after="140" w:before="260"/>
      </w:pPr>
      <w:r>
        <w:rPr>
          <w:b/>
          <w:bCs/>
          <w:color w:val="4A6789"/>
          <w:sz w:val="24"/>
          <w:szCs w:val="24"/>
        </w:rPr>
        <w:t xml:space="preserve">De toezichthouder en compliance</w:t>
      </w:r>
    </w:p>
    <w:p>
      <w:pPr>
        <w:spacing w:after="160" w:line="276"/>
      </w:pPr>
      <w:r>
        <w:rPr>
          <w:b/>
          <w:bCs/>
          <w:color w:val="1F2937"/>
          <w:sz w:val="22"/>
          <w:szCs w:val="22"/>
        </w:rPr>
        <w:t xml:space="preserve">Wat hen bezighoudt: </w:t>
      </w:r>
      <w:r>
        <w:rPr>
          <w:color w:val="1F2937"/>
          <w:sz w:val="22"/>
          <w:szCs w:val="22"/>
        </w:rPr>
        <w:t xml:space="preserve">voldoet u, kunt u het aantonen, en wat gebeurt er in de tussentijd?</w:t>
      </w:r>
    </w:p>
    <w:p>
      <w:pPr>
        <w:spacing w:after="160" w:line="276"/>
      </w:pPr>
      <w:r>
        <w:rPr>
          <w:b/>
          <w:bCs/>
          <w:color w:val="1F2937"/>
          <w:sz w:val="22"/>
          <w:szCs w:val="22"/>
        </w:rPr>
        <w:t xml:space="preserve">Wat werkt: </w:t>
      </w:r>
      <w:r>
        <w:rPr>
          <w:color w:val="1F2937"/>
          <w:sz w:val="22"/>
          <w:szCs w:val="22"/>
        </w:rPr>
        <w:t xml:space="preserve">feitelijk zijn over wat wel en niet kan, en altijd de tussentijdmaatregel benoemen. Een tekortkoming die u zelf meldt met een plan en een termijn is een beheerst risico; dezelfde tekortkoming die zij vinden, is een bevinding.</w:t>
      </w:r>
    </w:p>
    <w:p>
      <w:pPr>
        <w:spacing w:after="160" w:line="276"/>
      </w:pPr>
      <w:r>
        <w:rPr>
          <w:b/>
          <w:bCs/>
          <w:color w:val="1F2937"/>
          <w:sz w:val="22"/>
          <w:szCs w:val="22"/>
        </w:rPr>
        <w:t xml:space="preserve">Wat niet werkt: </w:t>
      </w:r>
      <w:r>
        <w:rPr>
          <w:color w:val="1F2937"/>
          <w:sz w:val="22"/>
          <w:szCs w:val="22"/>
        </w:rPr>
        <w:t xml:space="preserve">relativeren, of technisch uitleggen waarom iets moeilijk is. De vraag is niet of het moeilijk is.</w:t>
      </w:r>
    </w:p>
    <w:p>
      <w:pPr>
        <w:spacing w:after="160" w:line="276"/>
      </w:pPr>
      <w:r>
        <w:rPr>
          <w:b/>
          <w:bCs/>
          <w:color w:val="1F2937"/>
          <w:sz w:val="22"/>
          <w:szCs w:val="22"/>
        </w:rPr>
        <w:t xml:space="preserve">Vertaal naar de deelnemer. </w:t>
      </w:r>
      <w:r>
        <w:rPr>
          <w:color w:val="1F2937"/>
          <w:sz w:val="22"/>
          <w:szCs w:val="22"/>
        </w:rPr>
        <w:t xml:space="preserve">“De reconstructie is niet volledig” zegt weinig; “voor dossiers uit deze periode kunnen wij niet aantonen op welke parameters een berekening berustte, en bij een geschil betekent dat dat wij de deelnemer het voordeel geven” zegt alles.</w:t>
      </w:r>
    </w:p>
    <w:p>
      <w:pPr>
        <w:pStyle w:val="Heading2"/>
        <w:spacing w:after="140" w:before="260"/>
      </w:pPr>
      <w:r>
        <w:rPr>
          <w:b/>
          <w:bCs/>
          <w:color w:val="4A6789"/>
          <w:sz w:val="24"/>
          <w:szCs w:val="24"/>
        </w:rPr>
        <w:t xml:space="preserve">De collega-architect en de leverancier</w:t>
      </w:r>
    </w:p>
    <w:p>
      <w:pPr>
        <w:spacing w:after="160" w:line="276"/>
      </w:pPr>
      <w:r>
        <w:rPr>
          <w:b/>
          <w:bCs/>
          <w:color w:val="1F2937"/>
          <w:sz w:val="22"/>
          <w:szCs w:val="22"/>
        </w:rPr>
        <w:t xml:space="preserve">Wat hen bezighoudt: </w:t>
      </w:r>
      <w:r>
        <w:rPr>
          <w:color w:val="1F2937"/>
          <w:sz w:val="22"/>
          <w:szCs w:val="22"/>
        </w:rPr>
        <w:t xml:space="preserve">de afwegingen, en of u ze hebt gemaakt.</w:t>
      </w:r>
    </w:p>
    <w:p>
      <w:pPr>
        <w:spacing w:after="160" w:line="276"/>
      </w:pPr>
      <w:r>
        <w:rPr>
          <w:b/>
          <w:bCs/>
          <w:color w:val="1F2937"/>
          <w:sz w:val="22"/>
          <w:szCs w:val="22"/>
        </w:rPr>
        <w:t xml:space="preserve">Wat werkt: </w:t>
      </w:r>
      <w:r>
        <w:rPr>
          <w:color w:val="1F2937"/>
          <w:sz w:val="22"/>
          <w:szCs w:val="22"/>
        </w:rPr>
        <w:t xml:space="preserve">de ADR's, de alternatieven, en de eerlijkheid over wat u niet weet. Dit is het enige publiek waarvoor uw volledige documentatie de juiste vorm heeft.</w:t>
      </w:r>
    </w:p>
    <w:p>
      <w:pPr>
        <w:spacing w:after="160" w:line="276"/>
      </w:pPr>
      <w:r>
        <w:rPr>
          <w:b/>
          <w:bCs/>
          <w:color w:val="1F2937"/>
          <w:sz w:val="22"/>
          <w:szCs w:val="22"/>
        </w:rPr>
        <w:t xml:space="preserve">Wat niet werkt: </w:t>
      </w:r>
      <w:r>
        <w:rPr>
          <w:color w:val="1F2937"/>
          <w:sz w:val="22"/>
          <w:szCs w:val="22"/>
        </w:rPr>
        <w:t xml:space="preserve">stelligheid. Een collega-architect die geen twijfel hoort, gaat ervan uit dat u niet hebt nagedacht.</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200"/>
        <w:gridCol w:w="2400"/>
        <w:gridCol w:w="2569"/>
        <w:gridCol w:w="2169"/>
      </w:tblGrid>
      <w:tr>
        <w:trPr>
          <w:tblHeader/>
        </w:trPr>
        <w:tc>
          <w:tcPr>
            <w:tcW w:type="dxa" w:w="2200"/>
            <w:shd w:fill="1F3A5F" w:val="clear"/>
            <w:tcMar>
              <w:top w:type="dxa" w:w="100"/>
              <w:left w:type="dxa" w:w="120"/>
              <w:bottom w:type="dxa" w:w="100"/>
              <w:right w:type="dxa" w:w="120"/>
            </w:tcMar>
            <w:vAlign w:val="center"/>
          </w:tcPr>
          <w:p>
            <w:r>
              <w:rPr>
                <w:b/>
                <w:bCs/>
                <w:color w:val="FFFFFF"/>
                <w:sz w:val="19"/>
                <w:szCs w:val="19"/>
              </w:rPr>
              <w:t xml:space="preserve">Publiek</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Kernvraag</w:t>
            </w:r>
          </w:p>
        </w:tc>
        <w:tc>
          <w:tcPr>
            <w:tcW w:type="dxa" w:w="2569"/>
            <w:shd w:fill="1F3A5F" w:val="clear"/>
            <w:tcMar>
              <w:top w:type="dxa" w:w="100"/>
              <w:left w:type="dxa" w:w="120"/>
              <w:bottom w:type="dxa" w:w="100"/>
              <w:right w:type="dxa" w:w="120"/>
            </w:tcMar>
            <w:vAlign w:val="center"/>
          </w:tcPr>
          <w:p>
            <w:r>
              <w:rPr>
                <w:b/>
                <w:bCs/>
                <w:color w:val="FFFFFF"/>
                <w:sz w:val="19"/>
                <w:szCs w:val="19"/>
              </w:rPr>
              <w:t xml:space="preserve">Vorm die werkt</w:t>
            </w:r>
          </w:p>
        </w:tc>
        <w:tc>
          <w:tcPr>
            <w:tcW w:type="dxa" w:w="2169"/>
            <w:shd w:fill="1F3A5F" w:val="clear"/>
            <w:tcMar>
              <w:top w:type="dxa" w:w="100"/>
              <w:left w:type="dxa" w:w="120"/>
              <w:bottom w:type="dxa" w:w="100"/>
              <w:right w:type="dxa" w:w="120"/>
            </w:tcMar>
            <w:vAlign w:val="center"/>
          </w:tcPr>
          <w:p>
            <w:r>
              <w:rPr>
                <w:b/>
                <w:bCs/>
                <w:color w:val="FFFFFF"/>
                <w:sz w:val="19"/>
                <w:szCs w:val="19"/>
              </w:rPr>
              <w:t xml:space="preserve">Meest voorkomende fout</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Bestuurlijk gremium</w:t>
            </w:r>
          </w:p>
        </w:tc>
        <w:tc>
          <w:tcPr>
            <w:tcW w:type="dxa" w:w="2400"/>
            <w:tcMar>
              <w:top w:type="dxa" w:w="100"/>
              <w:left w:type="dxa" w:w="120"/>
              <w:bottom w:type="dxa" w:w="100"/>
              <w:right w:type="dxa" w:w="120"/>
            </w:tcMar>
            <w:vAlign w:val="center"/>
          </w:tcPr>
          <w:p>
            <w:r>
              <w:rPr>
                <w:b w:val="false"/>
                <w:bCs w:val="false"/>
                <w:color w:val="1F2937"/>
                <w:sz w:val="19"/>
                <w:szCs w:val="19"/>
              </w:rPr>
              <w:t xml:space="preserve">Geld, tijd, risico — en de vraag of dit programma opnieuw ontspoort</w:t>
            </w:r>
          </w:p>
        </w:tc>
        <w:tc>
          <w:tcPr>
            <w:tcW w:type="dxa" w:w="2569"/>
            <w:tcMar>
              <w:top w:type="dxa" w:w="100"/>
              <w:left w:type="dxa" w:w="120"/>
              <w:bottom w:type="dxa" w:w="100"/>
              <w:right w:type="dxa" w:w="120"/>
            </w:tcMar>
            <w:vAlign w:val="center"/>
          </w:tcPr>
          <w:p>
            <w:r>
              <w:rPr>
                <w:b w:val="false"/>
                <w:bCs w:val="false"/>
                <w:color w:val="1F2937"/>
                <w:sz w:val="19"/>
                <w:szCs w:val="19"/>
              </w:rPr>
              <w:t xml:space="preserve">Beginnen met de beslissing; twee of drie thema's met gevolg en kosten; eindigen met het gevolg van niets doen</w:t>
            </w:r>
          </w:p>
        </w:tc>
        <w:tc>
          <w:tcPr>
            <w:tcW w:type="dxa" w:w="2169"/>
            <w:tcMar>
              <w:top w:type="dxa" w:w="100"/>
              <w:left w:type="dxa" w:w="120"/>
              <w:bottom w:type="dxa" w:w="100"/>
              <w:right w:type="dxa" w:w="120"/>
            </w:tcMar>
            <w:vAlign w:val="center"/>
          </w:tcPr>
          <w:p>
            <w:r>
              <w:rPr>
                <w:b w:val="false"/>
                <w:bCs w:val="false"/>
                <w:color w:val="1F2937"/>
                <w:sz w:val="19"/>
                <w:szCs w:val="19"/>
              </w:rPr>
              <w:t xml:space="preserve">Mechanismen en volledigheid in plaats van de gevraagde beslissing</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Bouwteam</w:t>
            </w:r>
          </w:p>
        </w:tc>
        <w:tc>
          <w:tcPr>
            <w:tcW w:type="dxa" w:w="2400"/>
            <w:tcMar>
              <w:top w:type="dxa" w:w="100"/>
              <w:left w:type="dxa" w:w="120"/>
              <w:bottom w:type="dxa" w:w="100"/>
              <w:right w:type="dxa" w:w="120"/>
            </w:tcMar>
            <w:vAlign w:val="center"/>
          </w:tcPr>
          <w:p>
            <w:r>
              <w:rPr>
                <w:b w:val="false"/>
                <w:bCs w:val="false"/>
                <w:color w:val="1F2937"/>
                <w:sz w:val="19"/>
                <w:szCs w:val="19"/>
              </w:rPr>
              <w:t xml:space="preserve">Wat betekent dit voor mijn werk, deze sprint en de volgende?</w:t>
            </w:r>
          </w:p>
        </w:tc>
        <w:tc>
          <w:tcPr>
            <w:tcW w:type="dxa" w:w="2569"/>
            <w:tcMar>
              <w:top w:type="dxa" w:w="100"/>
              <w:left w:type="dxa" w:w="120"/>
              <w:bottom w:type="dxa" w:w="100"/>
              <w:right w:type="dxa" w:w="120"/>
            </w:tcMar>
            <w:vAlign w:val="center"/>
          </w:tcPr>
          <w:p>
            <w:r>
              <w:rPr>
                <w:b w:val="false"/>
                <w:bCs w:val="false"/>
                <w:color w:val="1F2937"/>
                <w:sz w:val="19"/>
                <w:szCs w:val="19"/>
              </w:rPr>
              <w:t xml:space="preserve">Specifiek: welke module, welke sprint, welk werk</w:t>
            </w:r>
          </w:p>
        </w:tc>
        <w:tc>
          <w:tcPr>
            <w:tcW w:type="dxa" w:w="2169"/>
            <w:tcMar>
              <w:top w:type="dxa" w:w="100"/>
              <w:left w:type="dxa" w:w="120"/>
              <w:bottom w:type="dxa" w:w="100"/>
              <w:right w:type="dxa" w:w="120"/>
            </w:tcMar>
            <w:vAlign w:val="center"/>
          </w:tcPr>
          <w:p>
            <w:r>
              <w:rPr>
                <w:b w:val="false"/>
                <w:bCs w:val="false"/>
                <w:color w:val="1F2937"/>
                <w:sz w:val="19"/>
                <w:szCs w:val="19"/>
              </w:rPr>
              <w:t xml:space="preserve">Op hoofdlijnen houden uit beleefdheid — een thema is een bestuurlijk hulpmiddel</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Toezichthouder en compliance</w:t>
            </w:r>
          </w:p>
        </w:tc>
        <w:tc>
          <w:tcPr>
            <w:tcW w:type="dxa" w:w="2400"/>
            <w:tcMar>
              <w:top w:type="dxa" w:w="100"/>
              <w:left w:type="dxa" w:w="120"/>
              <w:bottom w:type="dxa" w:w="100"/>
              <w:right w:type="dxa" w:w="120"/>
            </w:tcMar>
            <w:vAlign w:val="center"/>
          </w:tcPr>
          <w:p>
            <w:r>
              <w:rPr>
                <w:b w:val="false"/>
                <w:bCs w:val="false"/>
                <w:color w:val="1F2937"/>
                <w:sz w:val="19"/>
                <w:szCs w:val="19"/>
              </w:rPr>
              <w:t xml:space="preserve">Voldoet u, kunt u het aantonen, en wat gebeurt er in de tussentijd?</w:t>
            </w:r>
          </w:p>
        </w:tc>
        <w:tc>
          <w:tcPr>
            <w:tcW w:type="dxa" w:w="2569"/>
            <w:tcMar>
              <w:top w:type="dxa" w:w="100"/>
              <w:left w:type="dxa" w:w="120"/>
              <w:bottom w:type="dxa" w:w="100"/>
              <w:right w:type="dxa" w:w="120"/>
            </w:tcMar>
            <w:vAlign w:val="center"/>
          </w:tcPr>
          <w:p>
            <w:r>
              <w:rPr>
                <w:b w:val="false"/>
                <w:bCs w:val="false"/>
                <w:color w:val="1F2937"/>
                <w:sz w:val="19"/>
                <w:szCs w:val="19"/>
              </w:rPr>
              <w:t xml:space="preserve">Feitelijk, met de tussentijdmaatregel, vertaald naar wat de deelnemer merkt</w:t>
            </w:r>
          </w:p>
        </w:tc>
        <w:tc>
          <w:tcPr>
            <w:tcW w:type="dxa" w:w="2169"/>
            <w:tcMar>
              <w:top w:type="dxa" w:w="100"/>
              <w:left w:type="dxa" w:w="120"/>
              <w:bottom w:type="dxa" w:w="100"/>
              <w:right w:type="dxa" w:w="120"/>
            </w:tcMar>
            <w:vAlign w:val="center"/>
          </w:tcPr>
          <w:p>
            <w:r>
              <w:rPr>
                <w:b w:val="false"/>
                <w:bCs w:val="false"/>
                <w:color w:val="1F2937"/>
                <w:sz w:val="19"/>
                <w:szCs w:val="19"/>
              </w:rPr>
              <w:t xml:space="preserve">Relativeren, of technisch uitleggen waarom het moeilijk is</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Collega-architect en leverancier</w:t>
            </w:r>
          </w:p>
        </w:tc>
        <w:tc>
          <w:tcPr>
            <w:tcW w:type="dxa" w:w="2400"/>
            <w:tcMar>
              <w:top w:type="dxa" w:w="100"/>
              <w:left w:type="dxa" w:w="120"/>
              <w:bottom w:type="dxa" w:w="100"/>
              <w:right w:type="dxa" w:w="120"/>
            </w:tcMar>
            <w:vAlign w:val="center"/>
          </w:tcPr>
          <w:p>
            <w:r>
              <w:rPr>
                <w:b w:val="false"/>
                <w:bCs w:val="false"/>
                <w:color w:val="1F2937"/>
                <w:sz w:val="19"/>
                <w:szCs w:val="19"/>
              </w:rPr>
              <w:t xml:space="preserve">Welke afwegingen zijn gemaakt, en waarom?</w:t>
            </w:r>
          </w:p>
        </w:tc>
        <w:tc>
          <w:tcPr>
            <w:tcW w:type="dxa" w:w="2569"/>
            <w:tcMar>
              <w:top w:type="dxa" w:w="100"/>
              <w:left w:type="dxa" w:w="120"/>
              <w:bottom w:type="dxa" w:w="100"/>
              <w:right w:type="dxa" w:w="120"/>
            </w:tcMar>
            <w:vAlign w:val="center"/>
          </w:tcPr>
          <w:p>
            <w:r>
              <w:rPr>
                <w:b w:val="false"/>
                <w:bCs w:val="false"/>
                <w:color w:val="1F2937"/>
                <w:sz w:val="19"/>
                <w:szCs w:val="19"/>
              </w:rPr>
              <w:t xml:space="preserve">De ADR's, de alternatieven, en de eerlijkheid over wat u niet weet</w:t>
            </w:r>
          </w:p>
        </w:tc>
        <w:tc>
          <w:tcPr>
            <w:tcW w:type="dxa" w:w="2169"/>
            <w:tcMar>
              <w:top w:type="dxa" w:w="100"/>
              <w:left w:type="dxa" w:w="120"/>
              <w:bottom w:type="dxa" w:w="100"/>
              <w:right w:type="dxa" w:w="120"/>
            </w:tcMar>
            <w:vAlign w:val="center"/>
          </w:tcPr>
          <w:p>
            <w:r>
              <w:rPr>
                <w:b w:val="false"/>
                <w:bCs w:val="false"/>
                <w:color w:val="1F2937"/>
                <w:sz w:val="19"/>
                <w:szCs w:val="19"/>
              </w:rPr>
              <w:t xml:space="preserve">Stelligheid — wie geen twijfel laat horen, wekt de indruk niet te hebben nagedacht</w:t>
            </w:r>
          </w:p>
        </w:tc>
      </w:tr>
    </w:tbl>
    <w:p>
      <w:pPr>
        <w:spacing w:after="300" w:before="80"/>
        <w:jc w:val="center"/>
      </w:pPr>
      <w:r>
        <w:rPr>
          <w:i/>
          <w:iCs/>
          <w:color w:val="6B7280"/>
          <w:sz w:val="18"/>
          <w:szCs w:val="18"/>
        </w:rPr>
        <w:t xml:space="preserve">Figuur 19-1 — Eén architectuur, vier publieken: per publiek de kernvraag die hen bezighoudt, de vorm die bij hen werkt, en de fout die het vaakst wordt gemaakt</w:t>
      </w:r>
    </w:p>
    <w:p>
      <w:pPr>
        <w:pStyle w:val="Heading1"/>
        <w:pBdr>
          <w:bottom w:val="single" w:color="E5E7EB" w:sz="6" w:space="6"/>
        </w:pBdr>
        <w:spacing w:after="180" w:before="380"/>
      </w:pPr>
      <w:r>
        <w:rPr>
          <w:b/>
          <w:bCs/>
          <w:color w:val="1F3A5F"/>
          <w:sz w:val="30"/>
          <w:szCs w:val="30"/>
        </w:rPr>
        <w:t xml:space="preserve">19.4 Een besluit voorleggen</w:t>
      </w:r>
    </w:p>
    <w:p>
      <w:pPr>
        <w:spacing w:after="160" w:line="276"/>
      </w:pPr>
      <w:r>
        <w:rPr>
          <w:color w:val="1F2937"/>
          <w:sz w:val="22"/>
          <w:szCs w:val="22"/>
        </w:rPr>
        <w:t xml:space="preserve">De belangrijkste communicatieve vaardigheid, en zij heeft een vaste vorm.</w:t>
      </w:r>
    </w:p>
    <w:p>
      <w:pPr>
        <w:spacing w:after="160" w:line="276"/>
      </w:pPr>
      <w:r>
        <w:rPr>
          <w:b/>
          <w:bCs/>
          <w:color w:val="1F2937"/>
          <w:sz w:val="22"/>
          <w:szCs w:val="22"/>
        </w:rPr>
        <w:t xml:space="preserve">De vier blokken:</w:t>
      </w:r>
      <w:r>
        <w:rPr>
          <w:color w:val="1F2937"/>
          <w:sz w:val="22"/>
          <w:szCs w:val="22"/>
        </w:rPr>
        <w:t xml:space="preserve"/>
      </w:r>
    </w:p>
    <w:p>
      <w:pPr>
        <w:pStyle w:val="ListParagraph"/>
        <w:numPr>
          <w:ilvl w:val="0"/>
          <w:numId w:val="3"/>
        </w:numPr>
        <w:spacing w:after="120"/>
      </w:pPr>
      <w:r>
        <w:rPr>
          <w:b/>
          <w:bCs/>
          <w:color w:val="1F2937"/>
          <w:sz w:val="22"/>
          <w:szCs w:val="22"/>
        </w:rPr>
        <w:t xml:space="preserve">De vraag.</w:t>
      </w:r>
      <w:r>
        <w:rPr>
          <w:color w:val="1F2937"/>
          <w:sz w:val="22"/>
          <w:szCs w:val="22"/>
        </w:rPr>
        <w:t xml:space="preserve"> Wat moet er besloten worden, door wie, en wanneer? Eén zin, bovenaan.</w:t>
      </w:r>
    </w:p>
    <w:p>
      <w:pPr>
        <w:pStyle w:val="ListParagraph"/>
        <w:numPr>
          <w:ilvl w:val="0"/>
          <w:numId w:val="3"/>
        </w:numPr>
        <w:spacing w:after="120"/>
      </w:pPr>
      <w:r>
        <w:rPr>
          <w:b/>
          <w:bCs/>
          <w:color w:val="1F2937"/>
          <w:sz w:val="22"/>
          <w:szCs w:val="22"/>
        </w:rPr>
        <w:t xml:space="preserve">De situatie.</w:t>
      </w:r>
      <w:r>
        <w:rPr>
          <w:color w:val="1F2937"/>
          <w:sz w:val="22"/>
          <w:szCs w:val="22"/>
        </w:rPr>
        <w:t xml:space="preserve"> Wat is er aan de hand, in twee tot vier zinnen, met de getallen die ertoe doen.</w:t>
      </w:r>
    </w:p>
    <w:p>
      <w:pPr>
        <w:pStyle w:val="ListParagraph"/>
        <w:numPr>
          <w:ilvl w:val="0"/>
          <w:numId w:val="3"/>
        </w:numPr>
        <w:spacing w:after="120"/>
      </w:pPr>
      <w:r>
        <w:rPr>
          <w:b/>
          <w:bCs/>
          <w:color w:val="1F2937"/>
          <w:sz w:val="22"/>
          <w:szCs w:val="22"/>
        </w:rPr>
        <w:t xml:space="preserve">De opties.</w:t>
      </w:r>
      <w:r>
        <w:rPr>
          <w:color w:val="1F2937"/>
          <w:sz w:val="22"/>
          <w:szCs w:val="22"/>
        </w:rPr>
        <w:t xml:space="preserve"> Twee of drie, met per optie: wat het oplevert, wat het kost, en wat het risico is. Ook de optie “niets doen” — die bestaat altijd en verdient een eerlijke beschrijving.</w:t>
      </w:r>
    </w:p>
    <w:p>
      <w:pPr>
        <w:pStyle w:val="ListParagraph"/>
        <w:numPr>
          <w:ilvl w:val="0"/>
          <w:numId w:val="3"/>
        </w:numPr>
        <w:spacing w:after="120"/>
      </w:pPr>
      <w:r>
        <w:rPr>
          <w:b/>
          <w:bCs/>
          <w:color w:val="1F2937"/>
          <w:sz w:val="22"/>
          <w:szCs w:val="22"/>
        </w:rPr>
        <w:t xml:space="preserve">De aanbeveling.</w:t>
      </w:r>
      <w:r>
        <w:rPr>
          <w:color w:val="1F2937"/>
          <w:sz w:val="22"/>
          <w:szCs w:val="22"/>
        </w:rPr>
        <w:t xml:space="preserve"> Welke optie, waarom, en onder welke aanname.</w:t>
      </w:r>
    </w:p>
    <w:p>
      <w:pPr>
        <w:spacing w:after="160" w:line="276"/>
      </w:pPr>
      <w:r>
        <w:rPr>
          <w:b/>
          <w:bCs/>
          <w:color w:val="1F2937"/>
          <w:sz w:val="22"/>
          <w:szCs w:val="22"/>
        </w:rPr>
        <w:t xml:space="preserve">Dat laatste onderdeel is het belangrijkst en het wordt het vaakst weggelaten.</w:t>
      </w:r>
      <w:r>
        <w:rPr>
          <w:color w:val="1F2937"/>
          <w:sz w:val="22"/>
          <w:szCs w:val="22"/>
        </w:rPr>
        <w:t xml:space="preserve"> Een aanbeveling zonder aanname is een mening. Met aanname wordt zij toetsbaar: “ik adviseer optie B, ervan uitgaande dat het aantal teams binnen twee jaar niet boven de vier komt. Verwacht u dat wel, dan verandert mijn advies.”</w:t>
      </w:r>
    </w:p>
    <w:p>
      <w:pPr>
        <w:spacing w:after="160" w:line="276"/>
      </w:pPr>
      <w:r>
        <w:rPr>
          <w:b/>
          <w:bCs/>
          <w:color w:val="1F2937"/>
          <w:sz w:val="22"/>
          <w:szCs w:val="22"/>
        </w:rPr>
        <w:t xml:space="preserve">Waarom dit werkt: </w:t>
      </w:r>
      <w:r>
        <w:rPr>
          <w:color w:val="1F2937"/>
          <w:sz w:val="22"/>
          <w:szCs w:val="22"/>
        </w:rPr>
        <w:t xml:space="preserve">het geeft de bestuurder iets te beslissen dat hij kán beslissen. Hij weet niet of optie B technisch verstandig is; hij weet wel of er teams bijkomen.</w:t>
      </w:r>
    </w:p>
    <w:p>
      <w:pPr>
        <w:spacing w:after="160" w:line="276"/>
      </w:pPr>
      <w:r>
        <w:rPr>
          <w:b/>
          <w:bCs/>
          <w:color w:val="1F2937"/>
          <w:sz w:val="22"/>
          <w:szCs w:val="22"/>
        </w:rPr>
        <w:t xml:space="preserve">Vermijd de valse tweedeling. </w:t>
      </w:r>
      <w:r>
        <w:rPr>
          <w:color w:val="1F2937"/>
          <w:sz w:val="22"/>
          <w:szCs w:val="22"/>
        </w:rPr>
        <w:t xml:space="preserve">“Optie A is snel maar onverantwoord, optie B is de juiste” is geen keuze maar een instructie in vermomming. Als u werkelijk vindt dat er één optie is, zeg dat — maar zeg het dan ook zo.</w:t>
      </w:r>
    </w:p>
    <w:p>
      <w:pPr>
        <w:pStyle w:val="Heading1"/>
        <w:pBdr>
          <w:bottom w:val="single" w:color="E5E7EB" w:sz="6" w:space="6"/>
        </w:pBdr>
        <w:spacing w:after="180" w:before="380"/>
      </w:pPr>
      <w:r>
        <w:rPr>
          <w:b/>
          <w:bCs/>
          <w:color w:val="1F3A5F"/>
          <w:sz w:val="30"/>
          <w:szCs w:val="30"/>
        </w:rPr>
        <w:t xml:space="preserve">19.5 Slecht nieuws brengen</w:t>
      </w:r>
    </w:p>
    <w:p>
      <w:pPr>
        <w:spacing w:after="160" w:line="276"/>
      </w:pPr>
      <w:r>
        <w:rPr>
          <w:color w:val="1F2937"/>
          <w:sz w:val="22"/>
          <w:szCs w:val="22"/>
        </w:rPr>
        <w:t xml:space="preserve">Technische schuld, een risico dat zich realiseert, een schatting die niet klopt.</w:t>
      </w:r>
    </w:p>
    <w:p>
      <w:pPr>
        <w:spacing w:after="160" w:line="276"/>
      </w:pPr>
      <w:r>
        <w:rPr>
          <w:b/>
          <w:bCs/>
          <w:color w:val="1F2937"/>
          <w:sz w:val="22"/>
          <w:szCs w:val="22"/>
        </w:rPr>
        <w:t xml:space="preserve">Vier regels:</w:t>
      </w:r>
      <w:r>
        <w:rPr>
          <w:color w:val="1F2937"/>
          <w:sz w:val="22"/>
          <w:szCs w:val="22"/>
        </w:rPr>
        <w:t xml:space="preserve"/>
      </w:r>
    </w:p>
    <w:p>
      <w:pPr>
        <w:pStyle w:val="ListParagraph"/>
        <w:numPr>
          <w:ilvl w:val="0"/>
          <w:numId w:val="4"/>
        </w:numPr>
        <w:spacing w:after="120"/>
      </w:pPr>
      <w:r>
        <w:rPr>
          <w:b/>
          <w:bCs/>
          <w:color w:val="1F2937"/>
          <w:sz w:val="22"/>
          <w:szCs w:val="22"/>
        </w:rPr>
        <w:t xml:space="preserve">Vroeg, en zonder aankondiging vooraf.</w:t>
      </w:r>
      <w:r>
        <w:rPr>
          <w:color w:val="1F2937"/>
          <w:sz w:val="22"/>
          <w:szCs w:val="22"/>
        </w:rPr>
        <w:t xml:space="preserve"> “Ik moet u iets vervelends melden” maakt de ontvanger defensief voordat hij weet waarover het gaat.</w:t>
      </w:r>
    </w:p>
    <w:p>
      <w:pPr>
        <w:pStyle w:val="ListParagraph"/>
        <w:numPr>
          <w:ilvl w:val="0"/>
          <w:numId w:val="4"/>
        </w:numPr>
        <w:spacing w:after="120"/>
      </w:pPr>
      <w:r>
        <w:rPr>
          <w:b/>
          <w:bCs/>
          <w:color w:val="1F2937"/>
          <w:sz w:val="22"/>
          <w:szCs w:val="22"/>
        </w:rPr>
        <w:t xml:space="preserve">Feit, gevolg, maatregel, vraag — in die volgorde.</w:t>
      </w:r>
      <w:r>
        <w:rPr>
          <w:color w:val="1F2937"/>
          <w:sz w:val="22"/>
          <w:szCs w:val="22"/>
        </w:rPr>
        <w:t xml:space="preserve"> Het feit zonder gevolg is technisch; het gevolg zonder maatregel is een klacht; de maatregel zonder vraag laat onduidelijk wat u wilt.</w:t>
      </w:r>
    </w:p>
    <w:p>
      <w:pPr>
        <w:pStyle w:val="ListParagraph"/>
        <w:numPr>
          <w:ilvl w:val="0"/>
          <w:numId w:val="4"/>
        </w:numPr>
        <w:spacing w:after="120"/>
      </w:pPr>
      <w:r>
        <w:rPr>
          <w:b/>
          <w:bCs/>
          <w:color w:val="1F2937"/>
          <w:sz w:val="22"/>
          <w:szCs w:val="22"/>
        </w:rPr>
        <w:t xml:space="preserve">Onderscheid ontwerpfout van gerealiseerd risico</w:t>
      </w:r>
      <w:r>
        <w:rPr>
          <w:color w:val="1F2937"/>
          <w:sz w:val="22"/>
          <w:szCs w:val="22"/>
        </w:rPr>
        <w:t xml:space="preserve"> (deel 9). Bij het eerste hoort verantwoording, bij het tweede niet — en wie zich voor beide verontschuldigt, wordt voor beide aansprakelijk gehouden.</w:t>
      </w:r>
    </w:p>
    <w:p>
      <w:pPr>
        <w:pStyle w:val="ListParagraph"/>
        <w:numPr>
          <w:ilvl w:val="0"/>
          <w:numId w:val="4"/>
        </w:numPr>
        <w:spacing w:after="120"/>
      </w:pPr>
      <w:r>
        <w:rPr>
          <w:b/>
          <w:bCs/>
          <w:color w:val="1F2937"/>
          <w:sz w:val="22"/>
          <w:szCs w:val="22"/>
        </w:rPr>
        <w:t xml:space="preserve">Geen schuldvraag, ook niet impliciet.</w:t>
      </w:r>
      <w:r>
        <w:rPr>
          <w:color w:val="1F2937"/>
          <w:sz w:val="22"/>
          <w:szCs w:val="22"/>
        </w:rPr>
        <w:t xml:space="preserve"> “Het team heeft nagelaten…” is zelden nuttig en altijd duurder dan de feitelijke variant.</w:t>
      </w:r>
    </w:p>
    <w:p>
      <w:pPr>
        <w:spacing w:after="160" w:line="276"/>
      </w:pPr>
      <w:r>
        <w:rPr>
          <w:b/>
          <w:bCs/>
          <w:color w:val="1F2937"/>
          <w:sz w:val="22"/>
          <w:szCs w:val="22"/>
        </w:rPr>
        <w:t xml:space="preserve">Wat u niet doet, is het nieuws laten meelopen in een voortgangsrapportage.</w:t>
      </w:r>
      <w:r>
        <w:rPr>
          <w:color w:val="1F2937"/>
          <w:sz w:val="22"/>
          <w:szCs w:val="22"/>
        </w:rPr>
        <w:t xml:space="preserve"> Een risico dat op pagina vier tussen de groene bolletjes staat, is niet gemeld — het is verstopt, en dat wordt achteraf zo gelezen.</w:t>
      </w:r>
    </w:p>
    <w:p>
      <w:pPr>
        <w:spacing w:after="160" w:line="276"/>
      </w:pPr>
      <w:r>
        <w:rPr>
          <w:b/>
          <w:bCs/>
          <w:color w:val="1F2937"/>
          <w:sz w:val="22"/>
          <w:szCs w:val="22"/>
        </w:rPr>
        <w:t xml:space="preserve">Wat u ook niet doet, is wachten tot u een oplossing hebt.</w:t>
      </w:r>
      <w:r>
        <w:rPr>
          <w:color w:val="1F2937"/>
          <w:sz w:val="22"/>
          <w:szCs w:val="22"/>
        </w:rPr>
        <w:t xml:space="preserve"> Een gemeld probleem zonder oplossing geeft de organisatie de kans mee te denken; een probleem dat u drie maanden voor u hield omdat u het wilde oplossen, wordt een vertrouwenskwestie.</w:t>
      </w:r>
    </w:p>
    <w:p>
      <w:pPr>
        <w:pStyle w:val="Heading1"/>
        <w:pBdr>
          <w:bottom w:val="single" w:color="E5E7EB" w:sz="6" w:space="6"/>
        </w:pBdr>
        <w:spacing w:after="180" w:before="380"/>
      </w:pPr>
      <w:r>
        <w:rPr>
          <w:b/>
          <w:bCs/>
          <w:color w:val="1F3A5F"/>
          <w:sz w:val="30"/>
          <w:szCs w:val="30"/>
        </w:rPr>
        <w:t xml:space="preserve">19.6 Documentatie die bij de organisatie past</w:t>
      </w:r>
    </w:p>
    <w:p>
      <w:pPr>
        <w:spacing w:after="160" w:line="276"/>
      </w:pPr>
      <w:r>
        <w:rPr>
          <w:color w:val="1F2937"/>
          <w:sz w:val="22"/>
          <w:szCs w:val="22"/>
        </w:rPr>
        <w:t xml:space="preserve">Uit deel 7: documentatie die niet veroudert. Op dit niveau komt er een organisatievraag bij.</w:t>
      </w:r>
    </w:p>
    <w:p>
      <w:pPr>
        <w:spacing w:after="160" w:line="276"/>
      </w:pPr>
      <w:r>
        <w:rPr>
          <w:b/>
          <w:bCs/>
          <w:color w:val="1F2937"/>
          <w:sz w:val="22"/>
          <w:szCs w:val="22"/>
        </w:rPr>
        <w:t xml:space="preserve">Het tempo van uw documentatie moet passen bij het tempo van uw organisatie.</w:t>
      </w:r>
      <w:r>
        <w:rPr>
          <w:color w:val="1F2937"/>
          <w:sz w:val="22"/>
          <w:szCs w:val="22"/>
        </w:rPr>
        <w:t xml:space="preserve"> Een organisatie die per kwartaal beslist, heeft geen documentatie nodig die per sprint wordt bijgewerkt. Een organisatie die dagelijks uitrolt, heeft niets aan een document dat per kwartaal wordt herzien.</w:t>
      </w:r>
    </w:p>
    <w:p>
      <w:pPr>
        <w:spacing w:after="160" w:line="276"/>
      </w:pPr>
      <w:r>
        <w:rPr>
          <w:b/>
          <w:bCs/>
          <w:color w:val="1F2937"/>
          <w:sz w:val="22"/>
          <w:szCs w:val="22"/>
        </w:rPr>
        <w:t xml:space="preserve">De verwachting moet expliciet zijn.</w:t>
      </w:r>
      <w:r>
        <w:rPr>
          <w:color w:val="1F2937"/>
          <w:sz w:val="22"/>
          <w:szCs w:val="22"/>
        </w:rPr>
        <w:t xml:space="preserve"> Drie vragen die u aan het begin beantwoordt en vastlegt:</w:t>
      </w:r>
    </w:p>
    <w:p>
      <w:pPr>
        <w:pStyle w:val="ListParagraph"/>
        <w:numPr>
          <w:ilvl w:val="0"/>
          <w:numId w:val="5"/>
        </w:numPr>
        <w:spacing w:after="120"/>
      </w:pPr>
      <w:r>
        <w:rPr>
          <w:b/>
          <w:bCs/>
          <w:color w:val="1F2937"/>
          <w:sz w:val="22"/>
          <w:szCs w:val="22"/>
        </w:rPr>
        <w:t xml:space="preserve">Wat is de bron van waarheid?</w:t>
      </w:r>
      <w:r>
        <w:rPr>
          <w:color w:val="1F2937"/>
          <w:sz w:val="22"/>
          <w:szCs w:val="22"/>
        </w:rPr>
        <w:t xml:space="preserve"> Bij tegenstrijdigheid tussen document en code: wat geldt?</w:t>
      </w:r>
    </w:p>
    <w:p>
      <w:pPr>
        <w:pStyle w:val="ListParagraph"/>
        <w:numPr>
          <w:ilvl w:val="0"/>
          <w:numId w:val="5"/>
        </w:numPr>
        <w:spacing w:after="120"/>
      </w:pPr>
      <w:r>
        <w:rPr>
          <w:b/>
          <w:bCs/>
          <w:color w:val="1F2937"/>
          <w:sz w:val="22"/>
          <w:szCs w:val="22"/>
        </w:rPr>
        <w:t xml:space="preserve">Wat wordt gegenereerd en wat geschreven?</w:t>
      </w:r>
      <w:r>
        <w:rPr>
          <w:color w:val="1F2937"/>
          <w:sz w:val="22"/>
          <w:szCs w:val="22"/>
        </w:rPr>
        <w:t xml:space="preserve"> (Deel 7.)</w:t>
      </w:r>
    </w:p>
    <w:p>
      <w:pPr>
        <w:pStyle w:val="ListParagraph"/>
        <w:numPr>
          <w:ilvl w:val="0"/>
          <w:numId w:val="5"/>
        </w:numPr>
        <w:spacing w:after="120"/>
      </w:pPr>
      <w:r>
        <w:rPr>
          <w:b/>
          <w:bCs/>
          <w:color w:val="1F2937"/>
          <w:sz w:val="22"/>
          <w:szCs w:val="22"/>
        </w:rPr>
        <w:t xml:space="preserve">Wat is de houdbaarheid?</w:t>
      </w:r>
      <w:r>
        <w:rPr>
          <w:color w:val="1F2937"/>
          <w:sz w:val="22"/>
          <w:szCs w:val="22"/>
        </w:rPr>
        <w:t xml:space="preserve"> Een architectuurbeeld zonder datum en zonder eigenaar wordt over twee jaar geloofd.</w:t>
      </w:r>
    </w:p>
    <w:p>
      <w:pPr>
        <w:spacing w:after="160" w:line="276"/>
      </w:pPr>
      <w:r>
        <w:rPr>
          <w:b/>
          <w:bCs/>
          <w:color w:val="1F2937"/>
          <w:sz w:val="22"/>
          <w:szCs w:val="22"/>
        </w:rPr>
        <w:t xml:space="preserve">De valkuil van dit niveau </w:t>
      </w:r>
      <w:r>
        <w:rPr>
          <w:color w:val="1F2937"/>
          <w:sz w:val="22"/>
          <w:szCs w:val="22"/>
        </w:rPr>
        <w:t xml:space="preserve">is de architect die documentatie inricht naar zijn eigen behoefte. U bent zelden de belangrijkste lezer. De toets uit deel 7 blijft: wie leest dit, en welke beslissing neemt hij ermee?</w:t>
      </w:r>
    </w:p>
    <w:p>
      <w:pPr>
        <w:pStyle w:val="Heading1"/>
        <w:pBdr>
          <w:bottom w:val="single" w:color="E5E7EB" w:sz="6" w:space="6"/>
        </w:pBdr>
        <w:spacing w:after="180" w:before="380"/>
      </w:pPr>
      <w:r>
        <w:rPr>
          <w:b/>
          <w:bCs/>
          <w:color w:val="1F3A5F"/>
          <w:sz w:val="30"/>
          <w:szCs w:val="30"/>
        </w:rPr>
        <w:t xml:space="preserve">19.7 Drie valkuilen</w:t>
      </w:r>
    </w:p>
    <w:p>
      <w:pPr>
        <w:spacing w:after="160" w:line="276"/>
      </w:pPr>
      <w:r>
        <w:rPr>
          <w:b/>
          <w:bCs/>
          <w:color w:val="1F2937"/>
          <w:sz w:val="22"/>
          <w:szCs w:val="22"/>
        </w:rPr>
        <w:t xml:space="preserve">Te veel vertellen.</w:t>
      </w:r>
      <w:r>
        <w:rPr>
          <w:color w:val="1F2937"/>
          <w:sz w:val="22"/>
          <w:szCs w:val="22"/>
        </w:rPr>
        <w:t xml:space="preserve"> De architect die alles deelt omdat alles waar is. Gevolg: de ontvanger selecteert zelf, meestal verkeerd. Dit is de fout uit de stuurgroep.</w:t>
      </w:r>
    </w:p>
    <w:p>
      <w:pPr>
        <w:spacing w:after="160" w:line="276"/>
      </w:pPr>
      <w:r>
        <w:rPr>
          <w:b/>
          <w:bCs/>
          <w:color w:val="1F2937"/>
          <w:sz w:val="22"/>
          <w:szCs w:val="22"/>
        </w:rPr>
        <w:t xml:space="preserve">Te weinig vertellen.</w:t>
      </w:r>
      <w:r>
        <w:rPr>
          <w:color w:val="1F2937"/>
          <w:sz w:val="22"/>
          <w:szCs w:val="22"/>
        </w:rPr>
        <w:t xml:space="preserve"> De architect die het team op hoofdlijnen houdt “om ze niet te belasten”. Gevolg: het team neemt beslissingen zonder de context, en dat is precies hoe erosie ontstaat (deel 17).</w:t>
      </w:r>
    </w:p>
    <w:p>
      <w:pPr>
        <w:spacing w:after="160" w:line="276"/>
      </w:pPr>
      <w:r>
        <w:rPr>
          <w:b/>
          <w:bCs/>
          <w:color w:val="1F2937"/>
          <w:sz w:val="22"/>
          <w:szCs w:val="22"/>
        </w:rPr>
        <w:t xml:space="preserve">Het verkeerde vertellen.</w:t>
      </w:r>
      <w:r>
        <w:rPr>
          <w:color w:val="1F2937"/>
          <w:sz w:val="22"/>
          <w:szCs w:val="22"/>
        </w:rPr>
        <w:t xml:space="preserve"> De architect die aan compliance uitlegt waarom iets technisch moeilijk is. Gevolg: hij beantwoordt een vraag die niemand stelde, en de vraag die wél gesteld is, blijft open.</w:t>
      </w:r>
    </w:p>
    <w:p>
      <w:pPr>
        <w:spacing w:after="160" w:line="276"/>
      </w:pPr>
      <w:r>
        <w:rPr>
          <w:b/>
          <w:bCs/>
          <w:color w:val="1F2937"/>
          <w:sz w:val="22"/>
          <w:szCs w:val="22"/>
        </w:rPr>
        <w:t xml:space="preserve">De gemeenschappelijke oorzaak </w:t>
      </w:r>
      <w:r>
        <w:rPr>
          <w:color w:val="1F2937"/>
          <w:sz w:val="22"/>
          <w:szCs w:val="22"/>
        </w:rPr>
        <w:t xml:space="preserve">van alle drie is dezelfde: het verhaal is opgebouwd vanuit wat de architect weet in plaats van vanuit wat de ontvanger moet beslissen.</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6"/>
        </w:numPr>
        <w:spacing w:after="100"/>
      </w:pPr>
      <w:r>
        <w:rPr>
          <w:color w:val="1F2937"/>
          <w:sz w:val="22"/>
          <w:szCs w:val="22"/>
        </w:rPr>
        <w:t xml:space="preserve">Documentatie is naslag; communicatie is een middel om een besluit te krijgen. Een presentatie is geen samenvatting van uw documentatie.</w:t>
      </w:r>
    </w:p>
    <w:p>
      <w:pPr>
        <w:pStyle w:val="ListParagraph"/>
        <w:numPr>
          <w:ilvl w:val="0"/>
          <w:numId w:val="6"/>
        </w:numPr>
        <w:spacing w:after="100"/>
      </w:pPr>
      <w:r>
        <w:rPr>
          <w:color w:val="1F2937"/>
          <w:sz w:val="22"/>
          <w:szCs w:val="22"/>
        </w:rPr>
        <w:t xml:space="preserve">Vier publieken, vier verhalen, dezelfde feiten. Aanpassen aan uw publiek is niet hetzelfde als iets anders vertellen.</w:t>
      </w:r>
    </w:p>
    <w:p>
      <w:pPr>
        <w:pStyle w:val="ListParagraph"/>
        <w:numPr>
          <w:ilvl w:val="0"/>
          <w:numId w:val="6"/>
        </w:numPr>
        <w:spacing w:after="100"/>
      </w:pPr>
      <w:r>
        <w:rPr>
          <w:color w:val="1F2937"/>
          <w:sz w:val="22"/>
          <w:szCs w:val="22"/>
        </w:rPr>
        <w:t xml:space="preserve">Bestuur: begin met de beslissing die u vraagt; mechanismen horen er niet in. Team: wees specifiek; thema's zijn een bestuurlijk hulpmiddel. Toezicht: feitelijk, met de tussentijdmaatregel, vertaald naar wat de deelnemer merkt. Collega-architect: de afwegingen en de twijfel.</w:t>
      </w:r>
    </w:p>
    <w:p>
      <w:pPr>
        <w:pStyle w:val="ListParagraph"/>
        <w:numPr>
          <w:ilvl w:val="0"/>
          <w:numId w:val="6"/>
        </w:numPr>
        <w:spacing w:after="100"/>
      </w:pPr>
      <w:r>
        <w:rPr>
          <w:color w:val="1F2937"/>
          <w:sz w:val="22"/>
          <w:szCs w:val="22"/>
        </w:rPr>
        <w:t xml:space="preserve">Een besluit voorleggen: vraag, situatie, opties met gevolgen, aanbeveling met aanname. De aanname wordt het vaakst weggelaten en is het belangrijkst — zij geeft de bestuurder iets te beslissen dat hij kán beslissen.</w:t>
      </w:r>
    </w:p>
    <w:p>
      <w:pPr>
        <w:pStyle w:val="ListParagraph"/>
        <w:numPr>
          <w:ilvl w:val="0"/>
          <w:numId w:val="6"/>
        </w:numPr>
        <w:spacing w:after="100"/>
      </w:pPr>
      <w:r>
        <w:rPr>
          <w:color w:val="1F2937"/>
          <w:sz w:val="22"/>
          <w:szCs w:val="22"/>
        </w:rPr>
        <w:t xml:space="preserve">Slecht nieuws: vroeg, zonder aankondiging, in de volgorde feit-gevolg-maatregel-vraag, met onderscheid tussen ontwerpfout en gerealiseerd risico.</w:t>
      </w:r>
    </w:p>
    <w:p>
      <w:pPr>
        <w:pStyle w:val="ListParagraph"/>
        <w:numPr>
          <w:ilvl w:val="0"/>
          <w:numId w:val="6"/>
        </w:numPr>
        <w:spacing w:after="100"/>
      </w:pPr>
      <w:r>
        <w:rPr>
          <w:color w:val="1F2937"/>
          <w:sz w:val="22"/>
          <w:szCs w:val="22"/>
        </w:rPr>
        <w:t xml:space="preserve">Een risico tussen de groene bolletjes is niet gemeld maar verstopt. Wachten tot u een oplossing hebt, maakt van een probleem een vertrouwenskwestie.</w:t>
      </w:r>
    </w:p>
    <w:p>
      <w:pPr>
        <w:pStyle w:val="ListParagraph"/>
        <w:numPr>
          <w:ilvl w:val="0"/>
          <w:numId w:val="6"/>
        </w:numPr>
        <w:spacing w:after="100"/>
      </w:pPr>
      <w:r>
        <w:rPr>
          <w:color w:val="1F2937"/>
          <w:sz w:val="22"/>
          <w:szCs w:val="22"/>
        </w:rPr>
        <w:t xml:space="preserve">Het tempo van uw documentatie past bij het tempo van uw organisatie. Leg vast wat de bron van waarheid is, wat gegenereerd wordt, en wat de houdbaarheid is.</w:t>
      </w:r>
    </w:p>
    <w:p>
      <w:pPr>
        <w:pStyle w:val="ListParagraph"/>
        <w:numPr>
          <w:ilvl w:val="0"/>
          <w:numId w:val="6"/>
        </w:numPr>
        <w:spacing w:after="100"/>
      </w:pPr>
      <w:r>
        <w:rPr>
          <w:color w:val="1F2937"/>
          <w:sz w:val="22"/>
          <w:szCs w:val="22"/>
        </w:rPr>
        <w:t xml:space="preserve">De drie valkuilen — te veel, te weinig, het verkeerde — hebben dezelfde oorzaak: opbouwen vanuit wat u weet in plaats van vanuit wat de ontvanger moet beslissen.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Documentatie tegenover communicatie — </w:t>
      </w:r>
      <w:r>
        <w:rPr>
          <w:color w:val="1F2937"/>
          <w:sz w:val="22"/>
          <w:szCs w:val="22"/>
        </w:rPr>
        <w:t xml:space="preserve">naslag met een zoekende lezer, tegenover een gesprek met een te nemen besluit.</w:t>
      </w:r>
    </w:p>
    <w:p>
      <w:pPr>
        <w:spacing w:after="160" w:line="276"/>
      </w:pPr>
      <w:r>
        <w:rPr>
          <w:b/>
          <w:bCs/>
          <w:color w:val="1F2937"/>
          <w:sz w:val="22"/>
          <w:szCs w:val="22"/>
        </w:rPr>
        <w:t xml:space="preserve">Besluitnota — </w:t>
      </w:r>
      <w:r>
        <w:rPr>
          <w:color w:val="1F2937"/>
          <w:sz w:val="22"/>
          <w:szCs w:val="22"/>
        </w:rPr>
        <w:t xml:space="preserve">de vaste vorm van vraag, situatie, opties en aanbeveling met aanname.</w:t>
      </w:r>
    </w:p>
    <w:p>
      <w:pPr>
        <w:spacing w:after="160" w:line="276"/>
      </w:pPr>
      <w:r>
        <w:rPr>
          <w:b/>
          <w:bCs/>
          <w:color w:val="1F2937"/>
          <w:sz w:val="22"/>
          <w:szCs w:val="22"/>
        </w:rPr>
        <w:t xml:space="preserve">Aanbeveling met aanname — </w:t>
      </w:r>
      <w:r>
        <w:rPr>
          <w:color w:val="1F2937"/>
          <w:sz w:val="22"/>
          <w:szCs w:val="22"/>
        </w:rPr>
        <w:t xml:space="preserve">een advies dat expliciet maakt onder welke voorwaarde het geldt, waardoor het toetsbaar wordt voor de besluitnemer.</w:t>
      </w:r>
    </w:p>
    <w:p>
      <w:pPr>
        <w:spacing w:after="160" w:line="276"/>
      </w:pPr>
      <w:r>
        <w:rPr>
          <w:b/>
          <w:bCs/>
          <w:color w:val="1F2937"/>
          <w:sz w:val="22"/>
          <w:szCs w:val="22"/>
        </w:rPr>
        <w:t xml:space="preserve">Tussentijdmaatregel — </w:t>
      </w:r>
      <w:r>
        <w:rPr>
          <w:color w:val="1F2937"/>
          <w:sz w:val="22"/>
          <w:szCs w:val="22"/>
        </w:rPr>
        <w:t xml:space="preserve">wat er gebeurt zolang een tekortkoming bestaat; onmisbaar richting toezicht.</w:t>
      </w:r>
    </w:p>
    <w:p>
      <w:pPr>
        <w:spacing w:after="160" w:line="276"/>
      </w:pPr>
      <w:r>
        <w:rPr>
          <w:b/>
          <w:bCs/>
          <w:color w:val="1F2937"/>
          <w:sz w:val="22"/>
          <w:szCs w:val="22"/>
        </w:rPr>
        <w:t xml:space="preserve">Bron van waarheid — </w:t>
      </w:r>
      <w:r>
        <w:rPr>
          <w:color w:val="1F2937"/>
          <w:sz w:val="22"/>
          <w:szCs w:val="22"/>
        </w:rPr>
        <w:t xml:space="preserve">de expliciete afspraak wat geldt bij tegenstrijdigheid tussen document en werkelijkheid.</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6"/>
        </w:numPr>
        <w:spacing w:after="100"/>
      </w:pPr>
      <w:r>
        <w:rPr>
          <w:color w:val="1F2937"/>
          <w:sz w:val="22"/>
          <w:szCs w:val="22"/>
        </w:rPr>
        <w:t xml:space="preserve">Minto, The Pyramid Principle — over het opbouwen van een boodschap vanuit de conclusie; het standaardwerk voor besluitvormende communicatie.</w:t>
      </w:r>
    </w:p>
    <w:p>
      <w:pPr>
        <w:pStyle w:val="ListParagraph"/>
        <w:numPr>
          <w:ilvl w:val="0"/>
          <w:numId w:val="6"/>
        </w:numPr>
        <w:spacing w:after="100"/>
      </w:pPr>
      <w:r>
        <w:rPr>
          <w:color w:val="1F2937"/>
          <w:sz w:val="22"/>
          <w:szCs w:val="22"/>
        </w:rPr>
        <w:t xml:space="preserve">Heath &amp; Heath, Made to Stick — over waarom sommige boodschappen blijven hangen.</w:t>
      </w:r>
    </w:p>
    <w:p>
      <w:pPr>
        <w:pStyle w:val="ListParagraph"/>
        <w:numPr>
          <w:ilvl w:val="0"/>
          <w:numId w:val="6"/>
        </w:numPr>
        <w:spacing w:after="100"/>
      </w:pPr>
      <w:r>
        <w:rPr>
          <w:color w:val="1F2937"/>
          <w:sz w:val="22"/>
          <w:szCs w:val="22"/>
        </w:rPr>
        <w:t xml:space="preserve">arc42-documentatie over de verschillende zichten per belanghebbende.</w:t>
      </w:r>
    </w:p>
    <w:p>
      <w:pPr>
        <w:pStyle w:val="ListParagraph"/>
        <w:numPr>
          <w:ilvl w:val="0"/>
          <w:numId w:val="6"/>
        </w:numPr>
        <w:spacing w:after="100"/>
      </w:pPr>
      <w:r>
        <w:rPr>
          <w:color w:val="1F2937"/>
          <w:sz w:val="22"/>
          <w:szCs w:val="22"/>
        </w:rPr>
        <w:t xml:space="preserve">De communicatieve modules in het iSAQB Advanced-modulelandschap; zie isaqb.org.</w:t>
      </w:r>
    </w:p>
    <w:p>
      <w:pPr>
        <w:pBdr>
          <w:top w:val="single" w:color="E5E7EB" w:sz="4" w:space="8"/>
        </w:pBdr>
        <w:spacing w:before="400"/>
        <w:jc w:val="center"/>
      </w:pPr>
      <w:r>
        <w:rPr>
          <w:i/>
          <w:iCs/>
          <w:color w:val="6B7280"/>
          <w:sz w:val="17"/>
          <w:szCs w:val="17"/>
        </w:rPr>
        <w:t xml:space="preserve">Ductus B.V. · Cursus Softwarearchitectuur · Niveau 2, deel 19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2026-08-17T19:36:37.463Z</dcterms:created>
  <dcterms:modified xsi:type="dcterms:W3CDTF">2026-08-17T19:36:37.464Z</dcterms:modified>
</cp:coreProperties>
</file>

<file path=docProps/custom.xml><?xml version="1.0" encoding="utf-8"?>
<Properties xmlns="http://schemas.openxmlformats.org/officeDocument/2006/custom-properties" xmlns:vt="http://schemas.openxmlformats.org/officeDocument/2006/docPropsVTypes"/>
</file>